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5FBCA" w14:textId="77777777" w:rsidR="00A131BC" w:rsidRDefault="00A131BC"/>
    <w:p w14:paraId="30394F1F" w14:textId="77777777" w:rsidR="000C3EA8" w:rsidRDefault="000C3EA8" w:rsidP="000C3EA8">
      <w:pPr>
        <w:ind w:left="-284"/>
        <w:rPr>
          <w:rFonts w:ascii="Arial" w:hAnsi="Arial" w:cs="Arial"/>
          <w:b/>
          <w:color w:val="753BBD"/>
          <w:sz w:val="124"/>
          <w:szCs w:val="124"/>
        </w:rPr>
      </w:pPr>
    </w:p>
    <w:p w14:paraId="219D30D4" w14:textId="77777777" w:rsidR="000C3EA8" w:rsidRDefault="000C3EA8" w:rsidP="000C3EA8">
      <w:pPr>
        <w:ind w:left="-284"/>
        <w:rPr>
          <w:rFonts w:ascii="Arial" w:hAnsi="Arial" w:cs="Arial"/>
          <w:b/>
          <w:color w:val="753BBD"/>
          <w:sz w:val="124"/>
          <w:szCs w:val="124"/>
        </w:rPr>
      </w:pPr>
    </w:p>
    <w:p w14:paraId="58F70D25" w14:textId="311A52D5" w:rsidR="000C3EA8" w:rsidRDefault="00770816" w:rsidP="000C3EA8">
      <w:pPr>
        <w:ind w:left="-284"/>
        <w:rPr>
          <w:rFonts w:ascii="Arial" w:hAnsi="Arial" w:cs="Arial"/>
          <w:color w:val="FFFFFF" w:themeColor="background1"/>
          <w:sz w:val="20"/>
          <w:szCs w:val="20"/>
        </w:rPr>
      </w:pPr>
      <w:r w:rsidRPr="00770816">
        <w:rPr>
          <w:rFonts w:ascii="Arial" w:hAnsi="Arial" w:cs="Arial"/>
          <w:b/>
          <w:color w:val="FFFFFF" w:themeColor="background1"/>
          <w:sz w:val="96"/>
          <w:szCs w:val="96"/>
        </w:rPr>
        <w:t xml:space="preserve">Ideas for </w:t>
      </w:r>
      <w:r>
        <w:rPr>
          <w:rFonts w:ascii="Arial" w:hAnsi="Arial" w:cs="Arial"/>
          <w:b/>
          <w:color w:val="FFFFFF" w:themeColor="background1"/>
          <w:sz w:val="96"/>
          <w:szCs w:val="96"/>
        </w:rPr>
        <w:t>D</w:t>
      </w:r>
      <w:r w:rsidRPr="00770816">
        <w:rPr>
          <w:rFonts w:ascii="Arial" w:hAnsi="Arial" w:cs="Arial"/>
          <w:b/>
          <w:color w:val="FFFFFF" w:themeColor="background1"/>
          <w:sz w:val="96"/>
          <w:szCs w:val="96"/>
        </w:rPr>
        <w:t xml:space="preserve">ifferentiated </w:t>
      </w:r>
      <w:r>
        <w:rPr>
          <w:rFonts w:ascii="Arial" w:hAnsi="Arial" w:cs="Arial"/>
          <w:b/>
          <w:color w:val="FFFFFF" w:themeColor="background1"/>
          <w:sz w:val="96"/>
          <w:szCs w:val="96"/>
        </w:rPr>
        <w:t>A</w:t>
      </w:r>
      <w:r w:rsidRPr="00770816">
        <w:rPr>
          <w:rFonts w:ascii="Arial" w:hAnsi="Arial" w:cs="Arial"/>
          <w:b/>
          <w:color w:val="FFFFFF" w:themeColor="background1"/>
          <w:sz w:val="96"/>
          <w:szCs w:val="96"/>
        </w:rPr>
        <w:t>ctivity</w:t>
      </w:r>
    </w:p>
    <w:p w14:paraId="18C032AA" w14:textId="77777777" w:rsidR="009C54EA" w:rsidRDefault="009C54EA" w:rsidP="000C3EA8">
      <w:pPr>
        <w:ind w:left="-284"/>
        <w:rPr>
          <w:rFonts w:ascii="Arial" w:hAnsi="Arial" w:cs="Arial"/>
          <w:color w:val="FFFFFF" w:themeColor="background1"/>
          <w:sz w:val="20"/>
          <w:szCs w:val="20"/>
        </w:rPr>
      </w:pPr>
    </w:p>
    <w:p w14:paraId="20645EA7" w14:textId="77777777" w:rsidR="009C54EA" w:rsidRDefault="009C54EA" w:rsidP="000C3EA8">
      <w:pPr>
        <w:ind w:left="-284"/>
        <w:rPr>
          <w:rFonts w:ascii="Arial" w:hAnsi="Arial" w:cs="Arial"/>
          <w:color w:val="FFFFFF" w:themeColor="background1"/>
          <w:sz w:val="20"/>
          <w:szCs w:val="20"/>
        </w:rPr>
      </w:pPr>
    </w:p>
    <w:p w14:paraId="458FFDAA" w14:textId="77777777" w:rsidR="009C54EA" w:rsidRDefault="009C54EA" w:rsidP="000C3EA8">
      <w:pPr>
        <w:ind w:left="-284"/>
        <w:rPr>
          <w:rFonts w:ascii="Arial" w:hAnsi="Arial" w:cs="Arial"/>
          <w:color w:val="FFFFFF" w:themeColor="background1"/>
          <w:sz w:val="20"/>
          <w:szCs w:val="20"/>
        </w:rPr>
      </w:pPr>
    </w:p>
    <w:p w14:paraId="40034A29" w14:textId="77777777" w:rsidR="00303B34" w:rsidRDefault="00303B34" w:rsidP="000C3EA8">
      <w:pPr>
        <w:ind w:left="-284"/>
        <w:rPr>
          <w:rFonts w:ascii="Arial" w:hAnsi="Arial" w:cs="Arial"/>
          <w:color w:val="FFFFFF" w:themeColor="background1"/>
          <w:sz w:val="20"/>
          <w:szCs w:val="20"/>
        </w:rPr>
      </w:pPr>
    </w:p>
    <w:p w14:paraId="5940D3D8" w14:textId="77777777" w:rsidR="009C54EA" w:rsidRDefault="009C54EA" w:rsidP="000C3EA8">
      <w:pPr>
        <w:ind w:left="-284"/>
        <w:rPr>
          <w:rFonts w:ascii="Arial" w:hAnsi="Arial" w:cs="Arial"/>
          <w:color w:val="FFFFFF" w:themeColor="background1"/>
          <w:sz w:val="20"/>
          <w:szCs w:val="20"/>
        </w:rPr>
      </w:pPr>
    </w:p>
    <w:p w14:paraId="17B29C66" w14:textId="16792667" w:rsidR="009C54EA" w:rsidRDefault="009C54EA" w:rsidP="00377F3E">
      <w:pPr>
        <w:rPr>
          <w:rFonts w:ascii="Arial" w:hAnsi="Arial" w:cs="Arial"/>
          <w:color w:val="FFFFFF" w:themeColor="background1"/>
          <w:sz w:val="20"/>
          <w:szCs w:val="20"/>
        </w:rPr>
      </w:pPr>
    </w:p>
    <w:p w14:paraId="40C2F23E" w14:textId="11D4108A" w:rsidR="00363539" w:rsidRDefault="00363539" w:rsidP="00377F3E">
      <w:pPr>
        <w:rPr>
          <w:rFonts w:ascii="Arial" w:hAnsi="Arial" w:cs="Arial"/>
          <w:color w:val="FFFFFF" w:themeColor="background1"/>
          <w:sz w:val="20"/>
          <w:szCs w:val="20"/>
        </w:rPr>
      </w:pPr>
    </w:p>
    <w:p w14:paraId="550D84AD" w14:textId="02A7B6F2" w:rsidR="00363539" w:rsidRDefault="00363539" w:rsidP="00377F3E">
      <w:pPr>
        <w:rPr>
          <w:rFonts w:ascii="Arial" w:hAnsi="Arial" w:cs="Arial"/>
          <w:color w:val="FFFFFF" w:themeColor="background1"/>
          <w:sz w:val="20"/>
          <w:szCs w:val="20"/>
        </w:rPr>
      </w:pPr>
    </w:p>
    <w:p w14:paraId="77220A13" w14:textId="77777777" w:rsidR="00363539" w:rsidRDefault="00363539" w:rsidP="00377F3E">
      <w:pPr>
        <w:rPr>
          <w:rFonts w:ascii="Arial" w:hAnsi="Arial" w:cs="Arial"/>
          <w:color w:val="FFFFFF" w:themeColor="background1"/>
          <w:sz w:val="20"/>
          <w:szCs w:val="20"/>
        </w:rPr>
      </w:pPr>
    </w:p>
    <w:p w14:paraId="3A26B8B7" w14:textId="77777777" w:rsidR="000F53C9" w:rsidRDefault="000F53C9" w:rsidP="000C3EA8">
      <w:pPr>
        <w:ind w:left="-284"/>
        <w:rPr>
          <w:rFonts w:ascii="Arial" w:hAnsi="Arial" w:cs="Arial"/>
          <w:color w:val="FFFFFF" w:themeColor="background1"/>
          <w:sz w:val="20"/>
          <w:szCs w:val="20"/>
        </w:rPr>
      </w:pPr>
    </w:p>
    <w:p w14:paraId="7A891F24" w14:textId="77777777" w:rsidR="000F53C9" w:rsidRPr="009C54EA" w:rsidRDefault="000F53C9" w:rsidP="000C3EA8">
      <w:pPr>
        <w:ind w:left="-284"/>
        <w:rPr>
          <w:rFonts w:ascii="Arial" w:hAnsi="Arial" w:cs="Arial"/>
          <w:color w:val="FFFFFF" w:themeColor="background1"/>
          <w:sz w:val="20"/>
          <w:szCs w:val="20"/>
        </w:rPr>
      </w:pPr>
    </w:p>
    <w:p w14:paraId="797CA009" w14:textId="7BA8E9CD" w:rsidR="000639D0" w:rsidRDefault="009C54EA" w:rsidP="000C3EA8">
      <w:pPr>
        <w:ind w:left="-284"/>
        <w:rPr>
          <w:rFonts w:ascii="Arial" w:hAnsi="Arial" w:cs="Arial"/>
          <w:color w:val="FFFFFF" w:themeColor="background1"/>
          <w:sz w:val="40"/>
          <w:szCs w:val="40"/>
        </w:rPr>
      </w:pPr>
      <w:r w:rsidRPr="00303B34">
        <w:rPr>
          <w:rFonts w:ascii="Arial" w:hAnsi="Arial" w:cs="Arial"/>
          <w:color w:val="FFFFFF" w:themeColor="background1"/>
          <w:sz w:val="40"/>
          <w:szCs w:val="40"/>
        </w:rPr>
        <w:t>Produced by the Centre for Learning &amp; Teaching</w:t>
      </w:r>
    </w:p>
    <w:p w14:paraId="55799BF0" w14:textId="77777777" w:rsidR="000C42D6" w:rsidRDefault="000C42D6" w:rsidP="000C42D6">
      <w:pPr>
        <w:spacing w:after="0" w:line="240" w:lineRule="auto"/>
        <w:jc w:val="both"/>
        <w:rPr>
          <w:rFonts w:ascii="Calibri" w:eastAsia="Times New Roman" w:hAnsi="Calibri" w:cs="Calibri"/>
          <w:color w:val="000000" w:themeColor="text1"/>
          <w:lang w:eastAsia="en-GB"/>
        </w:rPr>
      </w:pPr>
      <w:r w:rsidRPr="4AC269D6">
        <w:rPr>
          <w:rFonts w:ascii="Calibri" w:eastAsia="Times New Roman" w:hAnsi="Calibri" w:cs="Calibri"/>
          <w:color w:val="000000" w:themeColor="text1"/>
          <w:lang w:eastAsia="en-GB"/>
        </w:rPr>
        <w:lastRenderedPageBreak/>
        <w:t>In order for all</w:t>
      </w:r>
      <w:r>
        <w:rPr>
          <w:rFonts w:ascii="Calibri" w:eastAsia="Times New Roman" w:hAnsi="Calibri" w:cs="Calibri"/>
          <w:color w:val="000000" w:themeColor="text1"/>
          <w:lang w:eastAsia="en-GB"/>
        </w:rPr>
        <w:t xml:space="preserve"> of your</w:t>
      </w:r>
      <w:r w:rsidRPr="4AC269D6">
        <w:rPr>
          <w:rFonts w:ascii="Calibri" w:eastAsia="Times New Roman" w:hAnsi="Calibri" w:cs="Calibri"/>
          <w:color w:val="000000" w:themeColor="text1"/>
          <w:lang w:eastAsia="en-GB"/>
        </w:rPr>
        <w:t xml:space="preserve"> students (who may have different levels of understanding and ability) to absorb and process learning material and content, it can</w:t>
      </w:r>
      <w:r>
        <w:rPr>
          <w:rFonts w:ascii="Calibri" w:eastAsia="Times New Roman" w:hAnsi="Calibri" w:cs="Calibri"/>
          <w:color w:val="000000" w:themeColor="text1"/>
          <w:lang w:eastAsia="en-GB"/>
        </w:rPr>
        <w:t xml:space="preserve"> </w:t>
      </w:r>
      <w:r w:rsidRPr="4AC269D6">
        <w:rPr>
          <w:rFonts w:ascii="Calibri" w:eastAsia="Times New Roman" w:hAnsi="Calibri" w:cs="Calibri"/>
          <w:color w:val="000000" w:themeColor="text1"/>
          <w:lang w:eastAsia="en-GB"/>
        </w:rPr>
        <w:t>be necessary to adopt a more differentiated approach to the learning process. This approach focuses on</w:t>
      </w:r>
      <w:r w:rsidRPr="00AB4D10">
        <w:rPr>
          <w:rFonts w:ascii="Calibri" w:eastAsia="Times New Roman" w:hAnsi="Calibri" w:cs="Calibri"/>
          <w:color w:val="000000" w:themeColor="text1"/>
          <w:lang w:eastAsia="en-GB"/>
        </w:rPr>
        <w:t> </w:t>
      </w:r>
      <w:proofErr w:type="spellStart"/>
      <w:r w:rsidRPr="00AB4D10">
        <w:rPr>
          <w:rFonts w:ascii="Calibri" w:eastAsia="Times New Roman" w:hAnsi="Calibri" w:cs="Calibri"/>
          <w:color w:val="000000" w:themeColor="text1"/>
          <w:lang w:eastAsia="en-GB"/>
        </w:rPr>
        <w:t>i</w:t>
      </w:r>
      <w:proofErr w:type="spellEnd"/>
      <w:r w:rsidRPr="00AB4D10">
        <w:rPr>
          <w:rFonts w:ascii="Calibri" w:eastAsia="Times New Roman" w:hAnsi="Calibri" w:cs="Calibri"/>
          <w:color w:val="000000" w:themeColor="text1"/>
          <w:lang w:eastAsia="en-GB"/>
        </w:rPr>
        <w:t>)</w:t>
      </w:r>
      <w:r w:rsidRPr="4AC269D6">
        <w:rPr>
          <w:rFonts w:ascii="Calibri" w:eastAsia="Times New Roman" w:hAnsi="Calibri" w:cs="Calibri"/>
          <w:i/>
          <w:iCs/>
          <w:color w:val="000000" w:themeColor="text1"/>
          <w:lang w:eastAsia="en-GB"/>
        </w:rPr>
        <w:t> individualising</w:t>
      </w:r>
      <w:r w:rsidRPr="4AC269D6">
        <w:rPr>
          <w:rFonts w:ascii="Calibri" w:eastAsia="Times New Roman" w:hAnsi="Calibri" w:cs="Calibri"/>
          <w:color w:val="000000" w:themeColor="text1"/>
          <w:lang w:eastAsia="en-GB"/>
        </w:rPr>
        <w:t> </w:t>
      </w:r>
      <w:r>
        <w:rPr>
          <w:rFonts w:ascii="Calibri" w:eastAsia="Times New Roman" w:hAnsi="Calibri" w:cs="Calibri"/>
          <w:color w:val="000000" w:themeColor="text1"/>
          <w:lang w:eastAsia="en-GB"/>
        </w:rPr>
        <w:t>your</w:t>
      </w:r>
      <w:r w:rsidRPr="4AC269D6">
        <w:rPr>
          <w:rFonts w:ascii="Calibri" w:eastAsia="Times New Roman" w:hAnsi="Calibri" w:cs="Calibri"/>
          <w:color w:val="000000" w:themeColor="text1"/>
          <w:lang w:eastAsia="en-GB"/>
        </w:rPr>
        <w:t xml:space="preserve"> students learning experience, or ii) </w:t>
      </w:r>
      <w:r w:rsidRPr="4AC269D6">
        <w:rPr>
          <w:rFonts w:ascii="Calibri" w:eastAsia="Times New Roman" w:hAnsi="Calibri" w:cs="Calibri"/>
          <w:i/>
          <w:iCs/>
          <w:color w:val="000000" w:themeColor="text1"/>
          <w:lang w:eastAsia="en-GB"/>
        </w:rPr>
        <w:t>differentiating </w:t>
      </w:r>
      <w:r w:rsidRPr="4AC269D6">
        <w:rPr>
          <w:rFonts w:ascii="Calibri" w:eastAsia="Times New Roman" w:hAnsi="Calibri" w:cs="Calibri"/>
          <w:color w:val="000000" w:themeColor="text1"/>
          <w:lang w:eastAsia="en-GB"/>
        </w:rPr>
        <w:t xml:space="preserve">activities depending on </w:t>
      </w:r>
      <w:r>
        <w:rPr>
          <w:rFonts w:ascii="Calibri" w:eastAsia="Times New Roman" w:hAnsi="Calibri" w:cs="Calibri"/>
          <w:color w:val="000000" w:themeColor="text1"/>
          <w:lang w:eastAsia="en-GB"/>
        </w:rPr>
        <w:t xml:space="preserve">your </w:t>
      </w:r>
      <w:r w:rsidRPr="4AC269D6">
        <w:rPr>
          <w:rFonts w:ascii="Calibri" w:eastAsia="Times New Roman" w:hAnsi="Calibri" w:cs="Calibri"/>
          <w:color w:val="000000" w:themeColor="text1"/>
          <w:lang w:eastAsia="en-GB"/>
        </w:rPr>
        <w:t>student</w:t>
      </w:r>
      <w:r>
        <w:rPr>
          <w:rFonts w:ascii="Calibri" w:eastAsia="Times New Roman" w:hAnsi="Calibri" w:cs="Calibri"/>
          <w:color w:val="000000" w:themeColor="text1"/>
          <w:lang w:eastAsia="en-GB"/>
        </w:rPr>
        <w:t>s’</w:t>
      </w:r>
      <w:r w:rsidRPr="4AC269D6">
        <w:rPr>
          <w:rFonts w:ascii="Calibri" w:eastAsia="Times New Roman" w:hAnsi="Calibri" w:cs="Calibri"/>
          <w:color w:val="000000" w:themeColor="text1"/>
          <w:lang w:eastAsia="en-GB"/>
        </w:rPr>
        <w:t xml:space="preserve"> need</w:t>
      </w:r>
      <w:r>
        <w:rPr>
          <w:rFonts w:ascii="Calibri" w:eastAsia="Times New Roman" w:hAnsi="Calibri" w:cs="Calibri"/>
          <w:color w:val="000000" w:themeColor="text1"/>
          <w:lang w:eastAsia="en-GB"/>
        </w:rPr>
        <w:t>s</w:t>
      </w:r>
      <w:r w:rsidRPr="4AC269D6">
        <w:rPr>
          <w:rFonts w:ascii="Calibri" w:eastAsia="Times New Roman" w:hAnsi="Calibri" w:cs="Calibri"/>
          <w:color w:val="000000" w:themeColor="text1"/>
          <w:lang w:eastAsia="en-GB"/>
        </w:rPr>
        <w:t>.</w:t>
      </w:r>
      <w:r w:rsidRPr="00D443B0">
        <w:t xml:space="preserve"> </w:t>
      </w:r>
      <w:r>
        <w:t>(Anderson, 2007).</w:t>
      </w:r>
    </w:p>
    <w:p w14:paraId="35602B1E"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4562EB13" w14:textId="77777777" w:rsidR="000C42D6" w:rsidRDefault="000C42D6" w:rsidP="000C42D6">
      <w:pPr>
        <w:spacing w:after="0" w:line="240" w:lineRule="auto"/>
        <w:jc w:val="both"/>
        <w:rPr>
          <w:rFonts w:ascii="Calibri" w:eastAsia="Times New Roman" w:hAnsi="Calibri" w:cs="Calibri"/>
          <w:color w:val="000000" w:themeColor="text1"/>
          <w:lang w:eastAsia="en-GB"/>
        </w:rPr>
      </w:pPr>
      <w:r w:rsidRPr="4AC269D6">
        <w:rPr>
          <w:rFonts w:ascii="Calibri" w:eastAsia="Times New Roman" w:hAnsi="Calibri" w:cs="Calibri"/>
          <w:color w:val="000000" w:themeColor="text1"/>
          <w:lang w:eastAsia="en-GB"/>
        </w:rPr>
        <w:t>This should contribute to students having a more lasting and deeper acquisition of knowledge, build their self-esteem and autonomy as learners.</w:t>
      </w:r>
      <w:r w:rsidRPr="000F07B5">
        <w:t xml:space="preserve"> </w:t>
      </w:r>
      <w:r>
        <w:t>(</w:t>
      </w:r>
      <w:proofErr w:type="spellStart"/>
      <w:r>
        <w:t>Tulbure</w:t>
      </w:r>
      <w:proofErr w:type="spellEnd"/>
      <w:r>
        <w:t>, 2011)</w:t>
      </w:r>
    </w:p>
    <w:p w14:paraId="7EE1152F"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1BF6B1C0" w14:textId="608B1E84" w:rsidR="000C42D6" w:rsidRPr="00531EAA" w:rsidRDefault="0039796F" w:rsidP="000C42D6">
      <w:pPr>
        <w:pStyle w:val="NormalWeb"/>
        <w:jc w:val="both"/>
        <w:rPr>
          <w:rFonts w:eastAsiaTheme="minorEastAsia" w:hAnsi="Calibri"/>
          <w:color w:val="000000" w:themeColor="text1"/>
          <w:sz w:val="22"/>
          <w:szCs w:val="22"/>
        </w:rPr>
      </w:pPr>
      <w:r w:rsidRPr="0039796F">
        <w:rPr>
          <w:rFonts w:asciiTheme="minorHAnsi" w:hAnsiTheme="minorHAnsi" w:cstheme="minorHAnsi"/>
          <w:sz w:val="22"/>
          <w:szCs w:val="22"/>
        </w:rPr>
        <w:t>It is recommended to design focussed, personalised activity into your course from the outset/beginning</w:t>
      </w:r>
      <w:r w:rsidR="000C42D6" w:rsidRPr="0039796F">
        <w:rPr>
          <w:rFonts w:asciiTheme="minorHAnsi" w:eastAsiaTheme="minorEastAsia" w:hAnsiTheme="minorHAnsi" w:cstheme="minorHAnsi"/>
          <w:color w:val="000000" w:themeColor="text1"/>
          <w:sz w:val="22"/>
          <w:szCs w:val="22"/>
        </w:rPr>
        <w:t>.</w:t>
      </w:r>
      <w:r w:rsidR="000C42D6" w:rsidRPr="407A0BDC">
        <w:rPr>
          <w:rFonts w:asciiTheme="minorHAnsi" w:eastAsiaTheme="minorEastAsia" w:hAnsi="Calibri" w:cstheme="minorBidi"/>
          <w:color w:val="000000" w:themeColor="text1"/>
          <w:sz w:val="22"/>
          <w:szCs w:val="22"/>
        </w:rPr>
        <w:t xml:space="preserve"> Think about it with your course or module team as you </w:t>
      </w:r>
      <w:r w:rsidR="000C42D6">
        <w:rPr>
          <w:rFonts w:asciiTheme="minorHAnsi" w:eastAsiaTheme="minorEastAsia" w:hAnsi="Calibri" w:cstheme="minorBidi"/>
          <w:color w:val="000000" w:themeColor="text1"/>
          <w:sz w:val="22"/>
          <w:szCs w:val="22"/>
        </w:rPr>
        <w:t xml:space="preserve">design and </w:t>
      </w:r>
      <w:r w:rsidR="000C42D6" w:rsidRPr="407A0BDC">
        <w:rPr>
          <w:rFonts w:asciiTheme="minorHAnsi" w:eastAsiaTheme="minorEastAsia" w:hAnsi="Calibri" w:cstheme="minorBidi"/>
          <w:color w:val="000000" w:themeColor="text1"/>
          <w:sz w:val="22"/>
          <w:szCs w:val="22"/>
        </w:rPr>
        <w:t>teach the course through each academic level</w:t>
      </w:r>
      <w:r w:rsidR="000C42D6" w:rsidRPr="7BEFA807">
        <w:rPr>
          <w:rFonts w:asciiTheme="minorHAnsi" w:eastAsiaTheme="minorEastAsia" w:hAnsiTheme="minorHAnsi" w:cstheme="minorBidi"/>
          <w:color w:val="000000" w:themeColor="text1"/>
          <w:sz w:val="22"/>
          <w:szCs w:val="22"/>
        </w:rPr>
        <w:t>.</w:t>
      </w:r>
      <w:r w:rsidR="000C42D6" w:rsidRPr="7BEFA807">
        <w:rPr>
          <w:rFonts w:asciiTheme="minorHAnsi" w:hAnsiTheme="minorHAnsi" w:cstheme="minorBidi"/>
          <w:color w:val="333333"/>
          <w:sz w:val="26"/>
          <w:szCs w:val="26"/>
        </w:rPr>
        <w:t xml:space="preserve"> (</w:t>
      </w:r>
      <w:proofErr w:type="spellStart"/>
      <w:r w:rsidR="000C42D6" w:rsidRPr="7BEFA807">
        <w:rPr>
          <w:rFonts w:asciiTheme="minorHAnsi" w:hAnsiTheme="minorHAnsi" w:cstheme="minorBidi"/>
          <w:color w:val="333333"/>
          <w:sz w:val="22"/>
          <w:szCs w:val="22"/>
        </w:rPr>
        <w:t>Kratochvílová</w:t>
      </w:r>
      <w:proofErr w:type="spellEnd"/>
      <w:r w:rsidR="000C42D6" w:rsidRPr="7BEFA807">
        <w:rPr>
          <w:rFonts w:asciiTheme="minorHAnsi" w:hAnsiTheme="minorHAnsi" w:cstheme="minorBidi"/>
          <w:color w:val="333333"/>
          <w:sz w:val="22"/>
          <w:szCs w:val="22"/>
        </w:rPr>
        <w:t xml:space="preserve"> and Havel, </w:t>
      </w:r>
      <w:hyperlink r:id="rId8">
        <w:r w:rsidR="000C42D6" w:rsidRPr="7BEFA807">
          <w:rPr>
            <w:rStyle w:val="Hyperlink"/>
            <w:rFonts w:asciiTheme="minorHAnsi" w:hAnsiTheme="minorHAnsi" w:cstheme="minorBidi"/>
            <w:color w:val="10147E"/>
            <w:sz w:val="22"/>
            <w:szCs w:val="22"/>
          </w:rPr>
          <w:t>2013</w:t>
        </w:r>
      </w:hyperlink>
      <w:r w:rsidR="000C42D6" w:rsidRPr="7BEFA807">
        <w:rPr>
          <w:rFonts w:asciiTheme="minorHAnsi" w:hAnsiTheme="minorHAnsi" w:cstheme="minorBidi"/>
          <w:color w:val="333333"/>
          <w:sz w:val="22"/>
          <w:szCs w:val="22"/>
        </w:rPr>
        <w:t>)</w:t>
      </w:r>
      <w:r w:rsidR="000C42D6" w:rsidRPr="7BEFA807">
        <w:rPr>
          <w:rFonts w:ascii="Open Sans" w:hAnsi="Open Sans" w:cs="Open Sans"/>
          <w:color w:val="333333"/>
          <w:sz w:val="22"/>
          <w:szCs w:val="22"/>
        </w:rPr>
        <w:t> </w:t>
      </w:r>
    </w:p>
    <w:p w14:paraId="620DC806"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45BF6DA3" w14:textId="77777777" w:rsidR="000C42D6" w:rsidRDefault="000C42D6" w:rsidP="000C42D6">
      <w:pPr>
        <w:spacing w:after="0" w:line="240" w:lineRule="auto"/>
        <w:jc w:val="both"/>
        <w:rPr>
          <w:rFonts w:ascii="Calibri" w:eastAsia="Times New Roman" w:hAnsi="Calibri" w:cs="Calibri"/>
          <w:color w:val="000000" w:themeColor="text1"/>
          <w:lang w:eastAsia="en-GB"/>
        </w:rPr>
      </w:pPr>
      <w:r w:rsidRPr="4AC269D6">
        <w:rPr>
          <w:rFonts w:ascii="Calibri" w:eastAsia="Times New Roman" w:hAnsi="Calibri" w:cs="Calibri"/>
          <w:color w:val="000000" w:themeColor="text1"/>
          <w:lang w:eastAsia="en-GB"/>
        </w:rPr>
        <w:t xml:space="preserve">This might be </w:t>
      </w:r>
      <w:proofErr w:type="spellStart"/>
      <w:r w:rsidRPr="4AC269D6">
        <w:rPr>
          <w:rFonts w:ascii="Calibri" w:eastAsia="Times New Roman" w:hAnsi="Calibri" w:cs="Calibri"/>
          <w:color w:val="000000" w:themeColor="text1"/>
          <w:lang w:eastAsia="en-GB"/>
        </w:rPr>
        <w:t>i</w:t>
      </w:r>
      <w:proofErr w:type="spellEnd"/>
      <w:r w:rsidRPr="4AC269D6">
        <w:rPr>
          <w:rFonts w:ascii="Calibri" w:eastAsia="Times New Roman" w:hAnsi="Calibri" w:cs="Calibri"/>
          <w:color w:val="000000" w:themeColor="text1"/>
          <w:lang w:eastAsia="en-GB"/>
        </w:rPr>
        <w:t xml:space="preserve">) identifying various options for directed reading in module guides and teaching sessions, ii) activities and questioning to enhance higher order thinking, iii) embedded staged activities to support </w:t>
      </w:r>
      <w:r>
        <w:rPr>
          <w:rFonts w:ascii="Calibri" w:eastAsia="Times New Roman" w:hAnsi="Calibri" w:cs="Calibri"/>
          <w:color w:val="000000" w:themeColor="text1"/>
          <w:lang w:eastAsia="en-GB"/>
        </w:rPr>
        <w:t xml:space="preserve">your </w:t>
      </w:r>
      <w:r w:rsidRPr="4AC269D6">
        <w:rPr>
          <w:rFonts w:ascii="Calibri" w:eastAsia="Times New Roman" w:hAnsi="Calibri" w:cs="Calibri"/>
          <w:color w:val="000000" w:themeColor="text1"/>
          <w:lang w:eastAsia="en-GB"/>
        </w:rPr>
        <w:t xml:space="preserve">students' preparation for their assessment, iv) visible differentiated activities in practical classes. </w:t>
      </w:r>
    </w:p>
    <w:p w14:paraId="5BDDEFCA"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6C44EF99" w14:textId="77777777" w:rsidR="000C42D6" w:rsidRDefault="000C42D6" w:rsidP="000C42D6">
      <w:pPr>
        <w:spacing w:after="0" w:line="240" w:lineRule="auto"/>
        <w:jc w:val="both"/>
        <w:rPr>
          <w:rFonts w:ascii="Calibri" w:eastAsia="Times New Roman" w:hAnsi="Calibri" w:cs="Calibri"/>
          <w:color w:val="000000" w:themeColor="text1"/>
          <w:lang w:eastAsia="en-GB"/>
        </w:rPr>
      </w:pPr>
      <w:r w:rsidRPr="1698F6E9">
        <w:rPr>
          <w:rFonts w:ascii="Calibri" w:eastAsia="Times New Roman" w:hAnsi="Calibri" w:cs="Calibri"/>
          <w:color w:val="000000" w:themeColor="text1"/>
          <w:lang w:eastAsia="en-GB"/>
        </w:rPr>
        <w:t xml:space="preserve">All these interventions are located within a wider context of </w:t>
      </w:r>
      <w:r>
        <w:rPr>
          <w:rFonts w:ascii="Calibri" w:eastAsia="Times New Roman" w:hAnsi="Calibri" w:cs="Calibri"/>
          <w:color w:val="000000" w:themeColor="text1"/>
          <w:lang w:eastAsia="en-GB"/>
        </w:rPr>
        <w:t>you</w:t>
      </w:r>
      <w:r w:rsidRPr="1698F6E9">
        <w:rPr>
          <w:rFonts w:ascii="Calibri" w:eastAsia="Times New Roman" w:hAnsi="Calibri" w:cs="Calibri"/>
          <w:color w:val="000000" w:themeColor="text1"/>
          <w:lang w:eastAsia="en-GB"/>
        </w:rPr>
        <w:t xml:space="preserve"> understanding and reviewing all </w:t>
      </w:r>
      <w:r>
        <w:rPr>
          <w:rFonts w:ascii="Calibri" w:eastAsia="Times New Roman" w:hAnsi="Calibri" w:cs="Calibri"/>
          <w:color w:val="000000" w:themeColor="text1"/>
          <w:lang w:eastAsia="en-GB"/>
        </w:rPr>
        <w:t>your</w:t>
      </w:r>
      <w:r w:rsidRPr="1698F6E9">
        <w:rPr>
          <w:rFonts w:ascii="Calibri" w:eastAsia="Times New Roman" w:hAnsi="Calibri" w:cs="Calibri"/>
          <w:color w:val="000000" w:themeColor="text1"/>
          <w:lang w:eastAsia="en-GB"/>
        </w:rPr>
        <w:t xml:space="preserve"> students' abilities, potential and progress. </w:t>
      </w:r>
      <w:r>
        <w:rPr>
          <w:rFonts w:ascii="Calibri" w:eastAsia="Times New Roman" w:hAnsi="Calibri" w:cs="Calibri"/>
          <w:color w:val="000000" w:themeColor="text1"/>
          <w:lang w:eastAsia="en-GB"/>
        </w:rPr>
        <w:t xml:space="preserve">(Tuner at </w:t>
      </w:r>
      <w:proofErr w:type="spellStart"/>
      <w:r>
        <w:rPr>
          <w:rFonts w:ascii="Calibri" w:eastAsia="Times New Roman" w:hAnsi="Calibri" w:cs="Calibri"/>
          <w:color w:val="000000" w:themeColor="text1"/>
          <w:lang w:eastAsia="en-GB"/>
        </w:rPr>
        <w:t>al</w:t>
      </w:r>
      <w:proofErr w:type="spellEnd"/>
      <w:r>
        <w:rPr>
          <w:rFonts w:ascii="Calibri" w:eastAsia="Times New Roman" w:hAnsi="Calibri" w:cs="Calibri"/>
          <w:color w:val="000000" w:themeColor="text1"/>
          <w:lang w:eastAsia="en-GB"/>
        </w:rPr>
        <w:t xml:space="preserve">, 2017). </w:t>
      </w:r>
    </w:p>
    <w:p w14:paraId="2BA8AAE8"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00B15689" w14:textId="77777777" w:rsidR="000C42D6" w:rsidRDefault="000C42D6" w:rsidP="000C42D6">
      <w:pPr>
        <w:spacing w:after="0" w:line="240" w:lineRule="auto"/>
        <w:jc w:val="bot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For more information about the principles of differentiated learning visit the Teach Learn webpage </w:t>
      </w:r>
      <w:hyperlink r:id="rId9" w:history="1">
        <w:r w:rsidRPr="006434C6">
          <w:rPr>
            <w:rStyle w:val="Hyperlink"/>
            <w:rFonts w:ascii="Calibri" w:eastAsia="Times New Roman" w:hAnsi="Calibri" w:cs="Calibri"/>
            <w:lang w:eastAsia="en-GB"/>
          </w:rPr>
          <w:t>https://teachlearn.leedsbeckett.ac.uk/the-learning-pathway/challenging-your-students/challenging-curriculum/personalised-learning/</w:t>
        </w:r>
      </w:hyperlink>
      <w:r>
        <w:rPr>
          <w:rFonts w:ascii="Calibri" w:eastAsia="Times New Roman" w:hAnsi="Calibri" w:cs="Calibri"/>
          <w:color w:val="000000" w:themeColor="text1"/>
          <w:lang w:eastAsia="en-GB"/>
        </w:rPr>
        <w:t xml:space="preserve"> </w:t>
      </w:r>
    </w:p>
    <w:p w14:paraId="2E51677D" w14:textId="77777777" w:rsidR="000C42D6" w:rsidRDefault="000C42D6" w:rsidP="000C42D6">
      <w:pPr>
        <w:spacing w:after="0" w:line="240" w:lineRule="auto"/>
        <w:jc w:val="both"/>
        <w:rPr>
          <w:rFonts w:ascii="Calibri" w:eastAsia="Times New Roman" w:hAnsi="Calibri" w:cs="Calibri"/>
          <w:color w:val="000000" w:themeColor="text1"/>
          <w:lang w:eastAsia="en-GB"/>
        </w:rPr>
      </w:pPr>
    </w:p>
    <w:p w14:paraId="03FBF637" w14:textId="77777777" w:rsidR="000C42D6" w:rsidRDefault="000C42D6" w:rsidP="000C42D6">
      <w:pPr>
        <w:spacing w:after="0" w:line="240" w:lineRule="auto"/>
        <w:jc w:val="both"/>
        <w:rPr>
          <w:rFonts w:ascii="Calibri" w:eastAsia="Times New Roman" w:hAnsi="Calibri" w:cs="Calibri"/>
          <w:color w:val="000000" w:themeColor="text1"/>
          <w:lang w:eastAsia="en-GB"/>
        </w:rPr>
      </w:pPr>
      <w:r w:rsidRPr="4AC269D6">
        <w:rPr>
          <w:rFonts w:ascii="Calibri" w:eastAsia="Times New Roman" w:hAnsi="Calibri" w:cs="Calibri"/>
          <w:color w:val="000000" w:themeColor="text1"/>
          <w:lang w:eastAsia="en-GB"/>
        </w:rPr>
        <w:t>​</w:t>
      </w:r>
    </w:p>
    <w:p w14:paraId="3B7DCDED" w14:textId="426BA50D" w:rsidR="000C42D6" w:rsidRPr="00FD49E6" w:rsidRDefault="000C42D6" w:rsidP="00FD49E6">
      <w:pPr>
        <w:pStyle w:val="Heading2"/>
        <w:jc w:val="both"/>
        <w:rPr>
          <w:rFonts w:eastAsiaTheme="minorEastAsia" w:hAnsi="Calibri"/>
          <w:color w:val="000000" w:themeColor="text1"/>
        </w:rPr>
      </w:pPr>
      <w:r w:rsidRPr="00C52EBE">
        <w:t>Consider trying these….</w:t>
      </w:r>
    </w:p>
    <w:p w14:paraId="6451C002" w14:textId="77777777" w:rsidR="000C42D6" w:rsidRPr="00AB4D10" w:rsidRDefault="000C42D6" w:rsidP="000C42D6">
      <w:pPr>
        <w:pStyle w:val="Heading2"/>
        <w:jc w:val="both"/>
      </w:pPr>
      <w:r w:rsidRPr="00484A22">
        <w:t xml:space="preserve">1. </w:t>
      </w:r>
      <w:r w:rsidRPr="00AB4D10">
        <w:t>Reading</w:t>
      </w:r>
    </w:p>
    <w:p w14:paraId="2F3FEE6F" w14:textId="77777777" w:rsidR="000C42D6" w:rsidRPr="002B0830" w:rsidRDefault="000C42D6" w:rsidP="000C42D6">
      <w:pPr>
        <w:jc w:val="both"/>
        <w:rPr>
          <w:rFonts w:eastAsiaTheme="minorEastAsia" w:hAnsi="Calibri"/>
          <w:color w:val="000000" w:themeColor="text1"/>
        </w:rPr>
      </w:pPr>
      <w:r w:rsidRPr="002B0830">
        <w:t xml:space="preserve">Include clear, signposted differentiated reading in your module handbooks, course schedules. </w:t>
      </w:r>
    </w:p>
    <w:p w14:paraId="42AAECC5" w14:textId="77777777" w:rsidR="000C42D6" w:rsidRPr="00484A22" w:rsidRDefault="000C42D6" w:rsidP="000C42D6">
      <w:pPr>
        <w:jc w:val="both"/>
        <w:rPr>
          <w:rFonts w:eastAsiaTheme="minorEastAsia" w:hAnsi="Calibri"/>
          <w:color w:val="000000" w:themeColor="text1"/>
        </w:rPr>
      </w:pPr>
      <w:r w:rsidRPr="00484A22">
        <w:t>For example:</w:t>
      </w:r>
    </w:p>
    <w:p w14:paraId="324A103E" w14:textId="77777777" w:rsidR="000C42D6" w:rsidRPr="00484A22" w:rsidRDefault="000C42D6" w:rsidP="000C42D6">
      <w:pPr>
        <w:ind w:left="720"/>
        <w:jc w:val="both"/>
        <w:rPr>
          <w:rFonts w:eastAsiaTheme="minorEastAsia" w:hAnsi="Calibri"/>
          <w:color w:val="000000" w:themeColor="text1"/>
        </w:rPr>
      </w:pPr>
      <w:r w:rsidRPr="00484A22">
        <w:t xml:space="preserve">“If you struggled with XXX…. Read XXXX.” </w:t>
      </w:r>
    </w:p>
    <w:p w14:paraId="5E5DE9B9" w14:textId="77777777" w:rsidR="000C42D6" w:rsidRDefault="000C42D6" w:rsidP="000C42D6">
      <w:pPr>
        <w:jc w:val="both"/>
      </w:pPr>
      <w:r w:rsidRPr="00484A22">
        <w:t xml:space="preserve">“If you are interested in this and want to take it further look at/or read XXXX.” </w:t>
      </w:r>
      <w:proofErr w:type="spellStart"/>
      <w:r w:rsidRPr="00484A22">
        <w:rPr>
          <w:rFonts w:ascii="Calibri" w:eastAsia="Calibri" w:hAnsi="Calibri" w:cs="Calibri"/>
        </w:rPr>
        <w:t>TeachLearn</w:t>
      </w:r>
      <w:proofErr w:type="spellEnd"/>
      <w:r w:rsidRPr="00484A22">
        <w:rPr>
          <w:rFonts w:ascii="Calibri" w:eastAsia="Calibri" w:hAnsi="Calibri" w:cs="Calibri"/>
        </w:rPr>
        <w:t xml:space="preserve"> (</w:t>
      </w:r>
      <w:hyperlink r:id="rId10" w:anchor="5---editing-and-organising-a-reading-list" w:history="1">
        <w:r w:rsidRPr="002B0830">
          <w:rPr>
            <w:rStyle w:val="Hyperlink"/>
            <w:rFonts w:ascii="Calibri" w:eastAsia="Calibri" w:hAnsi="Calibri" w:cs="Calibri"/>
          </w:rPr>
          <w:t>https://teachlearn.leedsbeckett.ac.uk/guides/mybeckett-and-digital-learning-guides/mybeckett/add-an-online-reading-list/#5---editing-and-organising-a-reading-list</w:t>
        </w:r>
      </w:hyperlink>
      <w:r w:rsidRPr="002B0830">
        <w:rPr>
          <w:rFonts w:ascii="Calibri" w:eastAsia="Calibri" w:hAnsi="Calibri" w:cs="Calibri"/>
        </w:rPr>
        <w:t>)</w:t>
      </w:r>
      <w:r w:rsidRPr="002B0830">
        <w:t xml:space="preserve">  </w:t>
      </w:r>
    </w:p>
    <w:p w14:paraId="53DC37D2" w14:textId="77777777" w:rsidR="000C42D6" w:rsidRPr="002B0830" w:rsidRDefault="000C42D6" w:rsidP="000C42D6">
      <w:pPr>
        <w:jc w:val="both"/>
      </w:pPr>
    </w:p>
    <w:p w14:paraId="4256566B"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2. Critical thinking</w:t>
      </w:r>
    </w:p>
    <w:p w14:paraId="053E2CA1" w14:textId="77777777" w:rsidR="000C42D6" w:rsidRDefault="000C42D6" w:rsidP="000C42D6">
      <w:pPr>
        <w:jc w:val="both"/>
      </w:pPr>
      <w:r w:rsidRPr="002B0830">
        <w:t>Offer a robust and exciting approach to critical thinking at all levels using questions that consistently and actively facilitate higher order thinking.</w:t>
      </w:r>
    </w:p>
    <w:p w14:paraId="3D42C33A" w14:textId="77777777" w:rsidR="000C42D6" w:rsidRPr="002B0830" w:rsidRDefault="000C42D6" w:rsidP="000C42D6">
      <w:pPr>
        <w:jc w:val="both"/>
      </w:pPr>
    </w:p>
    <w:p w14:paraId="45485E63"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3. Extension Activities</w:t>
      </w:r>
    </w:p>
    <w:p w14:paraId="0459DF66" w14:textId="77777777" w:rsidR="000C42D6" w:rsidRPr="00484A22" w:rsidRDefault="000C42D6" w:rsidP="000C42D6">
      <w:pPr>
        <w:jc w:val="both"/>
        <w:rPr>
          <w:rFonts w:eastAsiaTheme="minorEastAsia" w:hAnsi="Calibri"/>
          <w:color w:val="000000" w:themeColor="text1"/>
        </w:rPr>
      </w:pPr>
      <w:r w:rsidRPr="002B0830">
        <w:t xml:space="preserve">Plan extension activities for all your sessions – they </w:t>
      </w:r>
      <w:r>
        <w:t xml:space="preserve">can </w:t>
      </w:r>
      <w:r w:rsidRPr="002B0830">
        <w:t xml:space="preserve">take time to set up and students need to be encouraged to do them. Articulate the benefits to </w:t>
      </w:r>
      <w:r>
        <w:t>your</w:t>
      </w:r>
      <w:r w:rsidRPr="002B0830">
        <w:t xml:space="preserve"> students. </w:t>
      </w:r>
    </w:p>
    <w:p w14:paraId="06DC00F5" w14:textId="77777777" w:rsidR="000C42D6" w:rsidRPr="00484A22" w:rsidRDefault="000C42D6" w:rsidP="000C42D6">
      <w:pPr>
        <w:jc w:val="both"/>
        <w:rPr>
          <w:rFonts w:eastAsiaTheme="minorEastAsia" w:hAnsi="Calibri"/>
          <w:color w:val="000000" w:themeColor="text1"/>
        </w:rPr>
      </w:pPr>
      <w:r w:rsidRPr="00484A22">
        <w:lastRenderedPageBreak/>
        <w:t>You need to be clear about how the activities relate to the higher grades in the mark scheme.</w:t>
      </w:r>
    </w:p>
    <w:p w14:paraId="411D739F" w14:textId="77777777" w:rsidR="000C42D6" w:rsidRPr="00484A22" w:rsidRDefault="000C42D6" w:rsidP="000C42D6">
      <w:pPr>
        <w:jc w:val="both"/>
      </w:pPr>
      <w:r w:rsidRPr="00484A22">
        <w:t>For example</w:t>
      </w:r>
    </w:p>
    <w:p w14:paraId="21E97294" w14:textId="77777777" w:rsidR="000C42D6" w:rsidRPr="00484A22" w:rsidRDefault="000C42D6" w:rsidP="000C42D6">
      <w:pPr>
        <w:ind w:left="720"/>
        <w:jc w:val="both"/>
      </w:pPr>
      <w:r w:rsidRPr="00484A22">
        <w:t>“Demonstrating extra reading to augment additional critical thinking and evaluation are the best ways to obtain the top marks on the assignment. To assist you in this we have provided some further reading necessary for critical engagement”.</w:t>
      </w:r>
    </w:p>
    <w:p w14:paraId="13DD6D1D" w14:textId="77777777" w:rsidR="000C42D6" w:rsidRPr="002B0830" w:rsidRDefault="000C42D6" w:rsidP="000C42D6">
      <w:pPr>
        <w:jc w:val="both"/>
      </w:pPr>
      <w:r w:rsidRPr="00484A22">
        <w:t xml:space="preserve">Build assessment and questions in taught sessions and use aspects of our Taxonomy and the module mark scheme. The Taxonomy of Assessment domains can be </w:t>
      </w:r>
      <w:hyperlink r:id="rId11" w:anchor="taxonomy-of-assessment" w:history="1">
        <w:r w:rsidRPr="002B0830">
          <w:rPr>
            <w:rStyle w:val="Hyperlink"/>
          </w:rPr>
          <w:t>viewed here.</w:t>
        </w:r>
      </w:hyperlink>
      <w:r w:rsidRPr="002B0830">
        <w:t xml:space="preserve"> </w:t>
      </w:r>
    </w:p>
    <w:p w14:paraId="30AFA0BE" w14:textId="77777777" w:rsidR="000C42D6" w:rsidRPr="00484A22" w:rsidRDefault="000C42D6" w:rsidP="000C42D6">
      <w:pPr>
        <w:jc w:val="both"/>
      </w:pPr>
    </w:p>
    <w:p w14:paraId="5CB65D22"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 xml:space="preserve">4. Assessment </w:t>
      </w:r>
    </w:p>
    <w:p w14:paraId="5B1FBF76" w14:textId="77777777" w:rsidR="000C42D6" w:rsidRPr="00484A22" w:rsidRDefault="000C42D6" w:rsidP="000C42D6">
      <w:pPr>
        <w:jc w:val="both"/>
      </w:pPr>
      <w:r w:rsidRPr="002B0830">
        <w:t>Differentiated assessment: assessments that offer choice (and clear criteria - and marking across the full range of marks to allow students</w:t>
      </w:r>
      <w:r>
        <w:t>,</w:t>
      </w:r>
      <w:r w:rsidRPr="002B0830">
        <w:t xml:space="preserve"> who are </w:t>
      </w:r>
      <w:r w:rsidRPr="00484A22">
        <w:t>good enough</w:t>
      </w:r>
      <w:r>
        <w:t>,</w:t>
      </w:r>
      <w:r w:rsidRPr="00484A22">
        <w:t xml:space="preserve"> to get as many marks as they can) and allow students to work to a high level to demonstrate critique and curiosity.  Offer choices in assessment so you can foster</w:t>
      </w:r>
      <w:r>
        <w:t xml:space="preserve"> your</w:t>
      </w:r>
      <w:r w:rsidRPr="00484A22">
        <w:t xml:space="preserve"> student</w:t>
      </w:r>
      <w:r>
        <w:t>s’</w:t>
      </w:r>
      <w:r w:rsidRPr="00484A22">
        <w:t xml:space="preserve"> interest and enthusiasm and thus allow them to demonstrate their optimum capability to tight assessment criteria. Use our Taxonomy to help with this.  </w:t>
      </w:r>
      <w:hyperlink r:id="rId12" w:history="1">
        <w:r w:rsidRPr="002B5F23">
          <w:rPr>
            <w:rStyle w:val="Hyperlink"/>
          </w:rPr>
          <w:t>https://teachlearn.leedsbeckett.ac.uk/teaching-and-learning/assessment/</w:t>
        </w:r>
      </w:hyperlink>
      <w:r>
        <w:t xml:space="preserve"> </w:t>
      </w:r>
    </w:p>
    <w:p w14:paraId="6C00F119" w14:textId="77777777" w:rsidR="000C42D6" w:rsidRPr="00484A22" w:rsidRDefault="000C42D6" w:rsidP="000C42D6">
      <w:pPr>
        <w:jc w:val="both"/>
      </w:pPr>
      <w:r w:rsidRPr="00484A22">
        <w:t>For Example:</w:t>
      </w:r>
    </w:p>
    <w:p w14:paraId="7B2E471C" w14:textId="77777777" w:rsidR="000C42D6" w:rsidRDefault="000C42D6" w:rsidP="000C42D6">
      <w:pPr>
        <w:ind w:left="720"/>
        <w:jc w:val="both"/>
      </w:pPr>
      <w:r w:rsidRPr="00484A22">
        <w:t>This is a bare pass question/ task (describe and compare…). “Try this as a starter…”</w:t>
      </w:r>
      <w:r>
        <w:t xml:space="preserve"> </w:t>
      </w:r>
    </w:p>
    <w:p w14:paraId="396B0744" w14:textId="77777777" w:rsidR="000C42D6" w:rsidRPr="00484A22" w:rsidRDefault="000C42D6" w:rsidP="000C42D6">
      <w:pPr>
        <w:ind w:left="720"/>
        <w:jc w:val="both"/>
      </w:pPr>
      <w:r w:rsidRPr="00484A22">
        <w:t>This is a slightly more advanced one: e.g. (evaluate…). “You can stretch yourself with this”</w:t>
      </w:r>
    </w:p>
    <w:p w14:paraId="5A028C8D" w14:textId="77777777" w:rsidR="000C42D6" w:rsidRPr="00484A22" w:rsidRDefault="000C42D6" w:rsidP="000C42D6">
      <w:pPr>
        <w:ind w:left="720"/>
        <w:jc w:val="both"/>
      </w:pPr>
      <w:r w:rsidRPr="00484A22">
        <w:t>This one is tricky…and you will need to consider a range of theories/ perspectives…see if you can tackle this with a friend (synthesis). “This is challenging…”</w:t>
      </w:r>
    </w:p>
    <w:p w14:paraId="2ED6D6B0" w14:textId="77777777" w:rsidR="000C42D6" w:rsidRPr="00484A22" w:rsidRDefault="000C42D6" w:rsidP="000C42D6">
      <w:pPr>
        <w:jc w:val="both"/>
      </w:pPr>
    </w:p>
    <w:p w14:paraId="02F6F323" w14:textId="77777777" w:rsidR="000C42D6" w:rsidRPr="00484A22" w:rsidRDefault="000C42D6" w:rsidP="000C42D6">
      <w:pPr>
        <w:pStyle w:val="Heading2"/>
        <w:jc w:val="both"/>
      </w:pPr>
      <w:r w:rsidRPr="00484A22">
        <w:t>5. Provide feedback</w:t>
      </w:r>
    </w:p>
    <w:p w14:paraId="56DA26FB" w14:textId="77777777" w:rsidR="000C42D6" w:rsidRPr="00484A22" w:rsidRDefault="000C42D6" w:rsidP="000C42D6">
      <w:pPr>
        <w:jc w:val="both"/>
        <w:rPr>
          <w:rFonts w:eastAsiaTheme="minorEastAsia" w:hAnsi="Calibri"/>
          <w:color w:val="000000" w:themeColor="text1"/>
        </w:rPr>
      </w:pPr>
      <w:r w:rsidRPr="002B0830">
        <w:t xml:space="preserve">Give </w:t>
      </w:r>
      <w:r w:rsidRPr="00484A22">
        <w:t xml:space="preserve">clear, timely feedback on assessment that specifically suggests opportunities for development for the individual student. </w:t>
      </w:r>
    </w:p>
    <w:p w14:paraId="0A165DE8" w14:textId="77777777" w:rsidR="000C42D6" w:rsidRPr="00484A22" w:rsidRDefault="000C42D6" w:rsidP="000C42D6">
      <w:pPr>
        <w:jc w:val="both"/>
      </w:pPr>
      <w:r w:rsidRPr="00484A22">
        <w:t>Feedback does not always have to be written. You may want to consider incorporating audio feedback or even video feedback.</w:t>
      </w:r>
    </w:p>
    <w:p w14:paraId="171D34EC" w14:textId="77777777" w:rsidR="000C42D6" w:rsidRPr="00484A22" w:rsidRDefault="000C42D6" w:rsidP="000C42D6">
      <w:pPr>
        <w:jc w:val="both"/>
        <w:rPr>
          <w:highlight w:val="yellow"/>
        </w:rPr>
      </w:pPr>
      <w:r w:rsidRPr="00484A22">
        <w:t xml:space="preserve">See </w:t>
      </w:r>
      <w:hyperlink r:id="rId13" w:history="1">
        <w:r w:rsidRPr="002B0830">
          <w:t>Teach</w:t>
        </w:r>
        <w:r w:rsidRPr="00484A22">
          <w:t xml:space="preserve"> Learn</w:t>
        </w:r>
        <w:r w:rsidRPr="00484A22">
          <w:rPr>
            <w:rStyle w:val="Hyperlink"/>
          </w:rPr>
          <w:t>: Giving feedback to students</w:t>
        </w:r>
      </w:hyperlink>
      <w:r w:rsidRPr="002B0830">
        <w:t xml:space="preserve"> for more about alternative methods of providing feedback.</w:t>
      </w:r>
      <w:r w:rsidRPr="00484A22">
        <w:t xml:space="preserve"> </w:t>
      </w:r>
    </w:p>
    <w:p w14:paraId="5683F895" w14:textId="77777777" w:rsidR="000C42D6" w:rsidRPr="00484A22" w:rsidRDefault="000C42D6" w:rsidP="000C42D6">
      <w:pPr>
        <w:jc w:val="both"/>
      </w:pPr>
    </w:p>
    <w:p w14:paraId="1FE44479" w14:textId="77777777" w:rsidR="000C42D6" w:rsidRPr="00484A22" w:rsidRDefault="000C42D6" w:rsidP="000C42D6">
      <w:pPr>
        <w:pStyle w:val="Heading2"/>
        <w:jc w:val="both"/>
      </w:pPr>
      <w:r w:rsidRPr="00484A22">
        <w:t xml:space="preserve">6. Peer and self-assessment </w:t>
      </w:r>
    </w:p>
    <w:p w14:paraId="13238F5B" w14:textId="77777777" w:rsidR="000C42D6" w:rsidRPr="00484A22" w:rsidRDefault="000C42D6" w:rsidP="000C42D6">
      <w:pPr>
        <w:jc w:val="both"/>
        <w:rPr>
          <w:rFonts w:eastAsiaTheme="minorEastAsia" w:hAnsi="Calibri"/>
          <w:color w:val="000000" w:themeColor="text1"/>
        </w:rPr>
      </w:pPr>
      <w:r w:rsidRPr="002B0830">
        <w:t>Develop peer and self-assessment</w:t>
      </w:r>
      <w:r>
        <w:t xml:space="preserve"> strategies and approaches allowing students more rapid feedback from peers of a similar age experiencing similar challenges and may be more approachable. (Topping and </w:t>
      </w:r>
      <w:proofErr w:type="spellStart"/>
      <w:r>
        <w:t>Ehly</w:t>
      </w:r>
      <w:proofErr w:type="spellEnd"/>
      <w:r>
        <w:t>, 1998) – For example</w:t>
      </w:r>
    </w:p>
    <w:p w14:paraId="563F4EC7" w14:textId="77777777" w:rsidR="000C42D6" w:rsidRPr="00484A22" w:rsidRDefault="000C42D6" w:rsidP="000C42D6">
      <w:pPr>
        <w:jc w:val="both"/>
        <w:rPr>
          <w:rFonts w:eastAsiaTheme="minorEastAsia" w:hAnsi="Calibri"/>
          <w:color w:val="000000" w:themeColor="text1"/>
        </w:rPr>
      </w:pPr>
      <w:r w:rsidRPr="00484A22">
        <w:t xml:space="preserve">Encouraging </w:t>
      </w:r>
      <w:r>
        <w:t>your</w:t>
      </w:r>
      <w:r w:rsidRPr="00484A22">
        <w:t xml:space="preserve"> bright students to teach other members of the class who may be struggling</w:t>
      </w:r>
      <w:r>
        <w:t>.</w:t>
      </w:r>
    </w:p>
    <w:p w14:paraId="55BE1563" w14:textId="77777777" w:rsidR="000C42D6" w:rsidRPr="00484A22" w:rsidRDefault="000C42D6" w:rsidP="000C42D6">
      <w:pPr>
        <w:jc w:val="both"/>
        <w:rPr>
          <w:rFonts w:eastAsiaTheme="minorEastAsia" w:hAnsi="Calibri"/>
          <w:color w:val="000000" w:themeColor="text1"/>
        </w:rPr>
      </w:pPr>
      <w:r w:rsidRPr="00484A22">
        <w:lastRenderedPageBreak/>
        <w:t>Encouraging peer feedback on formative assessment may be helpful</w:t>
      </w:r>
      <w:r>
        <w:t>.</w:t>
      </w:r>
    </w:p>
    <w:p w14:paraId="784762C9" w14:textId="77777777" w:rsidR="000C42D6" w:rsidRDefault="000C42D6" w:rsidP="000C42D6">
      <w:pPr>
        <w:jc w:val="both"/>
      </w:pPr>
      <w:r w:rsidRPr="00484A22">
        <w:t>In small groups, students can teach a new theory to the whole class.</w:t>
      </w:r>
      <w:r>
        <w:t xml:space="preserve"> (Topping and </w:t>
      </w:r>
      <w:proofErr w:type="spellStart"/>
      <w:r>
        <w:t>Ehly</w:t>
      </w:r>
      <w:proofErr w:type="spellEnd"/>
      <w:r>
        <w:t>, 1998)</w:t>
      </w:r>
    </w:p>
    <w:p w14:paraId="65A5A178" w14:textId="77777777" w:rsidR="000C42D6" w:rsidRPr="00484A22" w:rsidRDefault="000C42D6" w:rsidP="000C42D6">
      <w:pPr>
        <w:jc w:val="both"/>
      </w:pPr>
    </w:p>
    <w:p w14:paraId="1E305A87" w14:textId="77777777" w:rsidR="000C42D6" w:rsidRPr="00484A22" w:rsidRDefault="000C42D6" w:rsidP="000C42D6">
      <w:pPr>
        <w:pStyle w:val="Heading2"/>
        <w:jc w:val="both"/>
        <w:rPr>
          <w:sz w:val="22"/>
          <w:szCs w:val="22"/>
        </w:rPr>
      </w:pPr>
      <w:r w:rsidRPr="00484A22">
        <w:t>7. Build on existing interests</w:t>
      </w:r>
    </w:p>
    <w:p w14:paraId="400DB007" w14:textId="77777777" w:rsidR="000C42D6" w:rsidRPr="00484A22" w:rsidRDefault="000C42D6" w:rsidP="000C42D6">
      <w:pPr>
        <w:jc w:val="both"/>
      </w:pPr>
      <w:r w:rsidRPr="002B0830">
        <w:t>Consider both how you can b</w:t>
      </w:r>
      <w:r w:rsidRPr="00484A22">
        <w:t>uild on what bright students are interested in and already know and do outside the classroom</w:t>
      </w:r>
      <w:r>
        <w:t>. You can then</w:t>
      </w:r>
      <w:r w:rsidRPr="00484A22">
        <w:t xml:space="preserve"> build on what all </w:t>
      </w:r>
      <w:r>
        <w:t>your</w:t>
      </w:r>
      <w:r w:rsidRPr="00484A22">
        <w:t xml:space="preserve"> students are interested in. Use a full range of case study examples that will empower/encourage </w:t>
      </w:r>
      <w:r>
        <w:t xml:space="preserve">your </w:t>
      </w:r>
      <w:r w:rsidRPr="00484A22">
        <w:t xml:space="preserve">students to think in different ways about different things. </w:t>
      </w:r>
    </w:p>
    <w:p w14:paraId="6826E537" w14:textId="77777777" w:rsidR="000C42D6" w:rsidRPr="00484A22" w:rsidRDefault="000C42D6" w:rsidP="000C42D6">
      <w:pPr>
        <w:jc w:val="both"/>
      </w:pPr>
    </w:p>
    <w:p w14:paraId="373465AB"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8. Enrichment Weeks</w:t>
      </w:r>
    </w:p>
    <w:p w14:paraId="702D202B" w14:textId="77777777" w:rsidR="000C42D6" w:rsidRPr="00AB4D10" w:rsidRDefault="000C42D6" w:rsidP="000C42D6">
      <w:pPr>
        <w:jc w:val="both"/>
      </w:pPr>
      <w:r w:rsidRPr="002B0830">
        <w:t xml:space="preserve">Add some enrichment weeks </w:t>
      </w:r>
      <w:r>
        <w:t>and design them</w:t>
      </w:r>
      <w:r w:rsidRPr="002B0830">
        <w:t xml:space="preserve"> into your timetable</w:t>
      </w:r>
      <w:r>
        <w:t xml:space="preserve"> such as </w:t>
      </w:r>
      <w:r w:rsidRPr="00484A22">
        <w:t>job placements, visits from alumni,</w:t>
      </w:r>
      <w:r>
        <w:t xml:space="preserve"> or</w:t>
      </w:r>
      <w:r w:rsidRPr="00484A22">
        <w:t xml:space="preserve"> a journal club. </w:t>
      </w:r>
    </w:p>
    <w:p w14:paraId="0E3803AA" w14:textId="77777777" w:rsidR="000C42D6" w:rsidRPr="00484A22" w:rsidRDefault="000C42D6" w:rsidP="000C42D6">
      <w:pPr>
        <w:jc w:val="both"/>
        <w:rPr>
          <w:rFonts w:eastAsiaTheme="minorEastAsia" w:hAnsi="Calibri"/>
          <w:color w:val="000000" w:themeColor="text1"/>
        </w:rPr>
      </w:pPr>
      <w:r w:rsidRPr="00484A22">
        <w:t xml:space="preserve">Those that want to attend, will. </w:t>
      </w:r>
    </w:p>
    <w:p w14:paraId="15F155EB" w14:textId="77777777" w:rsidR="000C42D6" w:rsidRPr="00484A22" w:rsidRDefault="000C42D6" w:rsidP="000C42D6">
      <w:pPr>
        <w:jc w:val="both"/>
      </w:pPr>
      <w:r w:rsidRPr="00484A22">
        <w:t xml:space="preserve">You could also create an online space for enrichment (for example in </w:t>
      </w:r>
      <w:proofErr w:type="spellStart"/>
      <w:r w:rsidRPr="00484A22">
        <w:t>MyBeckett</w:t>
      </w:r>
      <w:proofErr w:type="spellEnd"/>
      <w:r w:rsidRPr="00484A22">
        <w:t xml:space="preserve"> or MS Teams), to share the above, incorporating recordings of guest lectures, information from the careers service and other opportunities.</w:t>
      </w:r>
    </w:p>
    <w:p w14:paraId="6679E4F2" w14:textId="77777777" w:rsidR="000C42D6" w:rsidRPr="00484A22" w:rsidRDefault="000C42D6" w:rsidP="000C42D6">
      <w:pPr>
        <w:jc w:val="both"/>
      </w:pPr>
    </w:p>
    <w:p w14:paraId="6D510A2D"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9. Masterclasses</w:t>
      </w:r>
    </w:p>
    <w:p w14:paraId="590060A0" w14:textId="77777777" w:rsidR="000C42D6" w:rsidRPr="00484A22" w:rsidRDefault="000C42D6" w:rsidP="000C42D6">
      <w:pPr>
        <w:jc w:val="both"/>
        <w:rPr>
          <w:rFonts w:eastAsiaTheme="minorEastAsia" w:hAnsi="Calibri"/>
          <w:color w:val="000000" w:themeColor="text1"/>
        </w:rPr>
      </w:pPr>
      <w:r w:rsidRPr="002B0830">
        <w:t xml:space="preserve">Think about providing masterclasses - which stretch and challenge </w:t>
      </w:r>
      <w:r>
        <w:t xml:space="preserve">your </w:t>
      </w:r>
      <w:r w:rsidRPr="002B0830">
        <w:t>students further. These can be open to all.</w:t>
      </w:r>
      <w:r w:rsidRPr="00484A22">
        <w:t xml:space="preserve"> For example</w:t>
      </w:r>
      <w:r>
        <w:t>,</w:t>
      </w:r>
      <w:r w:rsidRPr="00484A22">
        <w:t xml:space="preserve"> you could get experts from industry or practice to demonstrate a particular tool or piece of software to a level beyond that required for the course.  </w:t>
      </w:r>
    </w:p>
    <w:p w14:paraId="7E87B2C3" w14:textId="77777777" w:rsidR="000C42D6" w:rsidRPr="00484A22" w:rsidRDefault="000C42D6" w:rsidP="000C42D6">
      <w:pPr>
        <w:jc w:val="both"/>
      </w:pPr>
    </w:p>
    <w:p w14:paraId="36E1DE79" w14:textId="77777777" w:rsidR="000C42D6" w:rsidRPr="00484A22" w:rsidRDefault="000C42D6" w:rsidP="000C42D6">
      <w:pPr>
        <w:pStyle w:val="Heading2"/>
        <w:jc w:val="both"/>
        <w:rPr>
          <w:rFonts w:asciiTheme="minorHAnsi" w:eastAsiaTheme="minorEastAsia" w:hAnsi="Calibri" w:cstheme="minorBidi"/>
          <w:color w:val="000000" w:themeColor="text1"/>
          <w:sz w:val="22"/>
          <w:szCs w:val="22"/>
        </w:rPr>
      </w:pPr>
      <w:r w:rsidRPr="00484A22">
        <w:t>10. Monitor progress</w:t>
      </w:r>
    </w:p>
    <w:p w14:paraId="122096B6" w14:textId="77777777" w:rsidR="000C42D6" w:rsidRDefault="000C42D6" w:rsidP="000C42D6">
      <w:pPr>
        <w:jc w:val="both"/>
      </w:pPr>
      <w:r>
        <w:t>Monitoring your students’ progress will allow you to identify changes in behaviour or engagement early and offer support or guidance before issues become critical, this can help with retention and progression. Active engagement in your students’ progress shows you care about them as an individual and individual attainment giving the student a sense of belonging. (</w:t>
      </w:r>
      <w:proofErr w:type="spellStart"/>
      <w:r>
        <w:t>Sclater</w:t>
      </w:r>
      <w:proofErr w:type="spellEnd"/>
      <w:r>
        <w:t xml:space="preserve">, </w:t>
      </w:r>
      <w:proofErr w:type="spellStart"/>
      <w:r>
        <w:t>Peasgood</w:t>
      </w:r>
      <w:proofErr w:type="spellEnd"/>
      <w:r>
        <w:t xml:space="preserve">, Mullan, 2016) </w:t>
      </w:r>
    </w:p>
    <w:p w14:paraId="074273ED" w14:textId="77777777" w:rsidR="000C42D6" w:rsidRPr="00484A22" w:rsidRDefault="000C42D6" w:rsidP="000C42D6">
      <w:pPr>
        <w:jc w:val="both"/>
        <w:rPr>
          <w:rFonts w:eastAsiaTheme="minorEastAsia" w:hAnsi="Calibri"/>
          <w:color w:val="000000" w:themeColor="text1"/>
        </w:rPr>
      </w:pPr>
      <w:r w:rsidRPr="002B0830">
        <w:t>For example</w:t>
      </w:r>
      <w:r>
        <w:t>:</w:t>
      </w:r>
    </w:p>
    <w:p w14:paraId="1B65FA3B" w14:textId="77777777" w:rsidR="000C42D6" w:rsidRPr="00484A22" w:rsidRDefault="000C42D6" w:rsidP="000C42D6">
      <w:pPr>
        <w:jc w:val="both"/>
        <w:rPr>
          <w:rFonts w:eastAsiaTheme="minorEastAsia" w:hAnsi="Calibri"/>
          <w:color w:val="000000" w:themeColor="text1"/>
        </w:rPr>
      </w:pPr>
      <w:r w:rsidRPr="00484A22">
        <w:t xml:space="preserve">Are you able to identify and nurture those who would/ should go on to </w:t>
      </w:r>
      <w:proofErr w:type="gramStart"/>
      <w:r w:rsidRPr="00484A22">
        <w:t>Master</w:t>
      </w:r>
      <w:r>
        <w:t>’</w:t>
      </w:r>
      <w:r w:rsidRPr="00484A22">
        <w:t>s</w:t>
      </w:r>
      <w:proofErr w:type="gramEnd"/>
      <w:r w:rsidRPr="00484A22">
        <w:t xml:space="preserve"> degrees/ or PhD study? </w:t>
      </w:r>
    </w:p>
    <w:p w14:paraId="05ECE0B7" w14:textId="384A16E9" w:rsidR="000C42D6" w:rsidRPr="005831D5" w:rsidRDefault="000C42D6" w:rsidP="005831D5">
      <w:pPr>
        <w:jc w:val="both"/>
      </w:pPr>
      <w:r w:rsidRPr="00484A22">
        <w:t xml:space="preserve">Do you regularly meet with your academic advisors and module colleagues to review the </w:t>
      </w:r>
      <w:r>
        <w:t xml:space="preserve">results and progress of your students? Do you regularly check </w:t>
      </w:r>
      <w:proofErr w:type="spellStart"/>
      <w:r>
        <w:t>MyProgress</w:t>
      </w:r>
      <w:proofErr w:type="spellEnd"/>
      <w:r>
        <w:t xml:space="preserve">? </w:t>
      </w:r>
    </w:p>
    <w:p w14:paraId="17D89F94" w14:textId="4E40B8F6" w:rsidR="00FD49E6" w:rsidRPr="00FD49E6" w:rsidRDefault="000C42D6" w:rsidP="00FD49E6">
      <w:pPr>
        <w:jc w:val="both"/>
        <w:rPr>
          <w:sz w:val="20"/>
          <w:szCs w:val="20"/>
        </w:rPr>
      </w:pPr>
      <w:r w:rsidRPr="00484A22">
        <w:rPr>
          <w:sz w:val="20"/>
          <w:szCs w:val="20"/>
        </w:rPr>
        <w:t xml:space="preserve">[Based on contributions from the School of Sport Awayday Workshop 23 January 2018 - Kevin Deighton, Susan Smith, Oliver Wilson and </w:t>
      </w:r>
      <w:r w:rsidRPr="00484A22">
        <w:t>Santangelo and Tomlinson (2009).</w:t>
      </w:r>
      <w:r w:rsidR="00FD49E6">
        <w:br w:type="page"/>
      </w:r>
    </w:p>
    <w:p w14:paraId="6C6E9F12" w14:textId="77777777" w:rsidR="000C42D6" w:rsidRPr="0021256E" w:rsidRDefault="000C42D6" w:rsidP="000C42D6">
      <w:pPr>
        <w:jc w:val="both"/>
        <w:rPr>
          <w:b/>
          <w:bCs/>
        </w:rPr>
      </w:pPr>
      <w:r w:rsidRPr="0021256E">
        <w:rPr>
          <w:b/>
          <w:bCs/>
        </w:rPr>
        <w:lastRenderedPageBreak/>
        <w:t>Bibliography</w:t>
      </w:r>
    </w:p>
    <w:p w14:paraId="6AD9591E" w14:textId="77777777" w:rsidR="000C42D6" w:rsidRPr="00531EAA" w:rsidRDefault="000C42D6" w:rsidP="000C42D6">
      <w:pPr>
        <w:jc w:val="both"/>
        <w:rPr>
          <w:rFonts w:cstheme="minorHAnsi"/>
        </w:rPr>
      </w:pPr>
      <w:r w:rsidRPr="001204CB">
        <w:rPr>
          <w:rFonts w:cstheme="minorHAnsi"/>
        </w:rPr>
        <w:t>Anderson, K. M. (2007). Tips for teaching: Differentiating instruction to in</w:t>
      </w:r>
      <w:r w:rsidRPr="00531EAA">
        <w:rPr>
          <w:rFonts w:cstheme="minorHAnsi"/>
        </w:rPr>
        <w:t>clude all students. Preventing School Failure, 51(3), 49-53.</w:t>
      </w:r>
    </w:p>
    <w:p w14:paraId="2F3CBD2D" w14:textId="77777777" w:rsidR="000C42D6" w:rsidRPr="00AB4D10" w:rsidRDefault="000C42D6" w:rsidP="000C42D6">
      <w:pPr>
        <w:jc w:val="both"/>
        <w:rPr>
          <w:rFonts w:cstheme="minorHAnsi"/>
        </w:rPr>
      </w:pPr>
      <w:proofErr w:type="spellStart"/>
      <w:r w:rsidRPr="00AB4D10">
        <w:t>Kratochvílová</w:t>
      </w:r>
      <w:proofErr w:type="spellEnd"/>
      <w:r w:rsidRPr="00AB4D10">
        <w:t>, J.</w:t>
      </w:r>
      <w:r w:rsidRPr="00AB4D10">
        <w:rPr>
          <w:rFonts w:cstheme="minorHAnsi"/>
        </w:rPr>
        <w:t>, and </w:t>
      </w:r>
      <w:r w:rsidRPr="00AB4D10">
        <w:t>Havel, J</w:t>
      </w:r>
      <w:r w:rsidRPr="00AB4D10">
        <w:rPr>
          <w:rFonts w:cstheme="minorHAnsi"/>
        </w:rPr>
        <w:t>., </w:t>
      </w:r>
      <w:r w:rsidRPr="00AB4D10">
        <w:t>2013</w:t>
      </w:r>
      <w:r w:rsidRPr="00AB4D10">
        <w:rPr>
          <w:rFonts w:cstheme="minorHAnsi"/>
        </w:rPr>
        <w:t>. “</w:t>
      </w:r>
      <w:r w:rsidRPr="00AB4D10">
        <w:t>Application of Individualization and Differentiation in Czech Primary Schools-One of the Characteristic Features of Inclusion</w:t>
      </w:r>
      <w:r w:rsidRPr="00AB4D10">
        <w:rPr>
          <w:rFonts w:cstheme="minorHAnsi"/>
        </w:rPr>
        <w:t xml:space="preserve">.” Procedia- Social and </w:t>
      </w:r>
      <w:proofErr w:type="spellStart"/>
      <w:r w:rsidRPr="00AB4D10">
        <w:rPr>
          <w:rFonts w:cstheme="minorHAnsi"/>
        </w:rPr>
        <w:t>Behavioral</w:t>
      </w:r>
      <w:proofErr w:type="spellEnd"/>
      <w:r w:rsidRPr="00AB4D10">
        <w:rPr>
          <w:rFonts w:cstheme="minorHAnsi"/>
        </w:rPr>
        <w:t xml:space="preserve"> Sciences 93: </w:t>
      </w:r>
      <w:r w:rsidRPr="00AB4D10">
        <w:t>1521</w:t>
      </w:r>
      <w:r w:rsidRPr="00AB4D10">
        <w:rPr>
          <w:rFonts w:cstheme="minorHAnsi"/>
        </w:rPr>
        <w:t>–</w:t>
      </w:r>
      <w:r w:rsidRPr="00AB4D10">
        <w:t>1525</w:t>
      </w:r>
      <w:r w:rsidRPr="00AB4D10">
        <w:rPr>
          <w:rFonts w:cstheme="minorHAnsi"/>
        </w:rPr>
        <w:t>.</w:t>
      </w:r>
    </w:p>
    <w:p w14:paraId="483222C4" w14:textId="77777777" w:rsidR="000C42D6" w:rsidRPr="00484A22" w:rsidRDefault="000C42D6" w:rsidP="000C42D6">
      <w:pPr>
        <w:jc w:val="both"/>
      </w:pPr>
      <w:r>
        <w:t>Santangelo, T., &amp; Tomlinson, C. A. (2009). The application of differentiated instruction in postsecondary environments: Benefits, challenges, and future directions. International Journal of Teaching and Learning in Higher Education, 20(3), 307-323.</w:t>
      </w:r>
    </w:p>
    <w:p w14:paraId="466C949E" w14:textId="77777777" w:rsidR="000C42D6" w:rsidRDefault="000C42D6" w:rsidP="000C42D6">
      <w:pPr>
        <w:jc w:val="both"/>
      </w:pPr>
      <w:proofErr w:type="spellStart"/>
      <w:r>
        <w:t>Sclater</w:t>
      </w:r>
      <w:proofErr w:type="spellEnd"/>
      <w:r>
        <w:t xml:space="preserve">, N., </w:t>
      </w:r>
      <w:proofErr w:type="spellStart"/>
      <w:r>
        <w:t>Peasgood</w:t>
      </w:r>
      <w:proofErr w:type="spellEnd"/>
      <w:r>
        <w:t xml:space="preserve">, A. and Mullan, J. (2016) Learning Analytics in Higher Education. Jisc  </w:t>
      </w:r>
      <w:hyperlink r:id="rId14" w:history="1">
        <w:r w:rsidRPr="002B5F23">
          <w:rPr>
            <w:rStyle w:val="Hyperlink"/>
          </w:rPr>
          <w:t>https://www.jisc.ac.uk/reports/learning-analytics-in-higher-education</w:t>
        </w:r>
      </w:hyperlink>
    </w:p>
    <w:p w14:paraId="4E8E3BF4" w14:textId="77777777" w:rsidR="000C42D6" w:rsidRPr="00484A22" w:rsidRDefault="000C42D6" w:rsidP="000C42D6">
      <w:pPr>
        <w:jc w:val="both"/>
      </w:pPr>
      <w:r w:rsidRPr="2E469457">
        <w:rPr>
          <w:rFonts w:eastAsia="Calibri"/>
          <w:color w:val="000000" w:themeColor="text1"/>
        </w:rPr>
        <w:t xml:space="preserve">Shay, S., (2013) Conceptualizing curriculum differentiation in higher education: a sociology of knowledge point of view, </w:t>
      </w:r>
      <w:r w:rsidRPr="2E469457">
        <w:rPr>
          <w:rFonts w:eastAsia="Calibri"/>
          <w:i/>
          <w:color w:val="000000" w:themeColor="text1"/>
        </w:rPr>
        <w:t>British Journal of Sociology of Education</w:t>
      </w:r>
      <w:r w:rsidRPr="2E469457">
        <w:rPr>
          <w:rFonts w:eastAsia="Calibri"/>
          <w:color w:val="000000" w:themeColor="text1"/>
        </w:rPr>
        <w:t>, 34:4</w:t>
      </w:r>
      <w:r w:rsidRPr="2E469457">
        <w:rPr>
          <w:rFonts w:eastAsia="Calibri"/>
          <w:color w:val="333333"/>
        </w:rPr>
        <w:t xml:space="preserve"> </w:t>
      </w:r>
      <w:hyperlink r:id="rId15">
        <w:r w:rsidRPr="00AB4D10">
          <w:rPr>
            <w:rStyle w:val="Hyperlink"/>
            <w:rFonts w:eastAsia="Calibri"/>
          </w:rPr>
          <w:t>https://www.tandfonline.com/doi/abs/10.1080/01425692.2012.722285</w:t>
        </w:r>
      </w:hyperlink>
    </w:p>
    <w:p w14:paraId="419ECF37" w14:textId="77777777" w:rsidR="000C42D6" w:rsidRPr="00AB4D10" w:rsidRDefault="000C42D6" w:rsidP="000C42D6">
      <w:pPr>
        <w:jc w:val="both"/>
        <w:rPr>
          <w:rFonts w:ascii="Roboto" w:eastAsia="Roboto" w:hAnsi="Roboto" w:cs="Roboto"/>
          <w:sz w:val="19"/>
          <w:szCs w:val="19"/>
        </w:rPr>
      </w:pPr>
      <w:r w:rsidRPr="00AB4D10">
        <w:rPr>
          <w:rFonts w:eastAsia="Calibri"/>
          <w:shd w:val="clear" w:color="auto" w:fill="E6E6E6"/>
        </w:rPr>
        <w:t xml:space="preserve">Topping, K. and </w:t>
      </w:r>
      <w:proofErr w:type="spellStart"/>
      <w:r w:rsidRPr="00AB4D10">
        <w:rPr>
          <w:rFonts w:eastAsia="Calibri"/>
          <w:shd w:val="clear" w:color="auto" w:fill="E6E6E6"/>
        </w:rPr>
        <w:t>Ehly</w:t>
      </w:r>
      <w:proofErr w:type="spellEnd"/>
      <w:r w:rsidRPr="00AB4D10">
        <w:rPr>
          <w:rFonts w:eastAsia="Calibri"/>
          <w:shd w:val="clear" w:color="auto" w:fill="E6E6E6"/>
        </w:rPr>
        <w:t xml:space="preserve">, S. (1998) Peer-assisted Learning. United States: Taylor &amp; Francis. ISBN </w:t>
      </w:r>
      <w:r w:rsidRPr="00AB4D10">
        <w:rPr>
          <w:rFonts w:ascii="Roboto" w:eastAsia="Roboto" w:hAnsi="Roboto" w:cs="Roboto"/>
          <w:sz w:val="19"/>
          <w:szCs w:val="19"/>
          <w:shd w:val="clear" w:color="auto" w:fill="E6E6E6"/>
        </w:rPr>
        <w:t>9781135686857</w:t>
      </w:r>
    </w:p>
    <w:p w14:paraId="04804714" w14:textId="77777777" w:rsidR="000C42D6" w:rsidRPr="00531EAA" w:rsidRDefault="000C42D6" w:rsidP="000C42D6">
      <w:pPr>
        <w:jc w:val="both"/>
        <w:rPr>
          <w:rFonts w:cstheme="minorHAnsi"/>
        </w:rPr>
      </w:pPr>
      <w:proofErr w:type="spellStart"/>
      <w:r w:rsidRPr="001204CB">
        <w:rPr>
          <w:rFonts w:cstheme="minorHAnsi"/>
        </w:rPr>
        <w:t>Tulbure</w:t>
      </w:r>
      <w:proofErr w:type="spellEnd"/>
      <w:r w:rsidRPr="001204CB">
        <w:rPr>
          <w:rFonts w:cstheme="minorHAnsi"/>
        </w:rPr>
        <w:t xml:space="preserve">, C. (2011). Differentiating instruction upon learning styles in higher education: A controversial issues. Bulletin of the Transylvania University of </w:t>
      </w:r>
      <w:proofErr w:type="spellStart"/>
      <w:r w:rsidRPr="001204CB">
        <w:rPr>
          <w:rFonts w:cstheme="minorHAnsi"/>
        </w:rPr>
        <w:t>Braşov</w:t>
      </w:r>
      <w:proofErr w:type="spellEnd"/>
      <w:r w:rsidRPr="001204CB">
        <w:rPr>
          <w:rFonts w:cstheme="minorHAnsi"/>
        </w:rPr>
        <w:t>, 53(1).79-84.</w:t>
      </w:r>
    </w:p>
    <w:p w14:paraId="1BFB4A16" w14:textId="156D5F74" w:rsidR="00397804" w:rsidRPr="005972A6" w:rsidRDefault="000C42D6" w:rsidP="000C42D6">
      <w:pPr>
        <w:jc w:val="both"/>
        <w:rPr>
          <w:rFonts w:cstheme="minorHAnsi"/>
        </w:rPr>
      </w:pPr>
      <w:r w:rsidRPr="00531EAA">
        <w:rPr>
          <w:rFonts w:eastAsia="Calibri" w:cstheme="minorHAnsi"/>
          <w:color w:val="333333"/>
        </w:rPr>
        <w:t>Turner, W Solis O. and Kincade, D. (2017) Differentiating instruction for large classes in HE,</w:t>
      </w:r>
      <w:r>
        <w:rPr>
          <w:rFonts w:eastAsia="Calibri" w:cstheme="minorHAnsi"/>
          <w:color w:val="333333"/>
        </w:rPr>
        <w:t xml:space="preserve"> </w:t>
      </w:r>
      <w:r w:rsidRPr="00531EAA">
        <w:rPr>
          <w:rFonts w:eastAsia="Calibri" w:cstheme="minorHAnsi"/>
          <w:color w:val="333333"/>
        </w:rPr>
        <w:t xml:space="preserve">International Journal of Teaching and Learning in Higher Education, 29,3,490-500. </w:t>
      </w:r>
      <w:hyperlink r:id="rId16" w:history="1">
        <w:r w:rsidRPr="00531EAA">
          <w:rPr>
            <w:rStyle w:val="Hyperlink"/>
            <w:rFonts w:eastAsia="Calibri" w:cstheme="minorHAnsi"/>
            <w:b/>
            <w:bCs/>
          </w:rPr>
          <w:t>PDF version here</w:t>
        </w:r>
      </w:hyperlink>
    </w:p>
    <w:p w14:paraId="60EC815D" w14:textId="77777777" w:rsidR="005831D5" w:rsidRDefault="005831D5" w:rsidP="000F53C9">
      <w:pPr>
        <w:rPr>
          <w:rFonts w:cstheme="minorHAnsi"/>
          <w:i/>
          <w:iCs/>
        </w:rPr>
      </w:pPr>
    </w:p>
    <w:p w14:paraId="64A95702" w14:textId="7B850E0A" w:rsidR="005831D5" w:rsidRDefault="005831D5" w:rsidP="000F53C9">
      <w:pPr>
        <w:rPr>
          <w:rFonts w:cstheme="minorHAnsi"/>
          <w:i/>
          <w:iCs/>
        </w:rPr>
      </w:pPr>
    </w:p>
    <w:p w14:paraId="3A7888B9" w14:textId="3D21FB0C" w:rsidR="00FD49E6" w:rsidRDefault="00FD49E6" w:rsidP="000F53C9">
      <w:pPr>
        <w:rPr>
          <w:rFonts w:cstheme="minorHAnsi"/>
          <w:i/>
          <w:iCs/>
        </w:rPr>
      </w:pPr>
    </w:p>
    <w:p w14:paraId="5BA8CD08" w14:textId="75CE854B" w:rsidR="00FD49E6" w:rsidRDefault="00FD49E6" w:rsidP="000F53C9">
      <w:pPr>
        <w:rPr>
          <w:rFonts w:cstheme="minorHAnsi"/>
          <w:i/>
          <w:iCs/>
        </w:rPr>
      </w:pPr>
    </w:p>
    <w:p w14:paraId="0EDC82D6" w14:textId="3C94177F" w:rsidR="00FD49E6" w:rsidRDefault="00FD49E6" w:rsidP="000F53C9">
      <w:pPr>
        <w:rPr>
          <w:rFonts w:cstheme="minorHAnsi"/>
          <w:i/>
          <w:iCs/>
        </w:rPr>
      </w:pPr>
    </w:p>
    <w:p w14:paraId="18562F1E" w14:textId="3D5A4C6B" w:rsidR="00FD49E6" w:rsidRDefault="00FD49E6" w:rsidP="000F53C9">
      <w:pPr>
        <w:rPr>
          <w:rFonts w:cstheme="minorHAnsi"/>
          <w:i/>
          <w:iCs/>
        </w:rPr>
      </w:pPr>
    </w:p>
    <w:p w14:paraId="4C327964" w14:textId="4767C6F9" w:rsidR="00FD49E6" w:rsidRDefault="00FD49E6" w:rsidP="000F53C9">
      <w:pPr>
        <w:rPr>
          <w:rFonts w:cstheme="minorHAnsi"/>
          <w:i/>
          <w:iCs/>
        </w:rPr>
      </w:pPr>
    </w:p>
    <w:p w14:paraId="73490988" w14:textId="53FFA6C2" w:rsidR="00FD49E6" w:rsidRDefault="00FD49E6" w:rsidP="000F53C9">
      <w:pPr>
        <w:rPr>
          <w:rFonts w:cstheme="minorHAnsi"/>
          <w:i/>
          <w:iCs/>
        </w:rPr>
      </w:pPr>
    </w:p>
    <w:p w14:paraId="4BC866F1" w14:textId="77777777" w:rsidR="00FD49E6" w:rsidRDefault="00FD49E6" w:rsidP="000F53C9">
      <w:pPr>
        <w:rPr>
          <w:rFonts w:cstheme="minorHAnsi"/>
          <w:i/>
          <w:iCs/>
        </w:rPr>
      </w:pPr>
    </w:p>
    <w:p w14:paraId="3A7B48C8" w14:textId="6C2BBAC7" w:rsidR="004902B0" w:rsidRPr="000C42D6" w:rsidRDefault="000C42D6" w:rsidP="000F53C9">
      <w:pPr>
        <w:rPr>
          <w:rFonts w:cstheme="minorHAnsi"/>
          <w:i/>
          <w:iCs/>
        </w:rPr>
      </w:pPr>
      <w:r>
        <w:rPr>
          <w:rFonts w:cstheme="minorHAnsi"/>
          <w:i/>
          <w:iCs/>
        </w:rPr>
        <w:t xml:space="preserve">Published </w:t>
      </w:r>
      <w:r w:rsidRPr="000C42D6">
        <w:rPr>
          <w:rFonts w:cstheme="minorHAnsi"/>
          <w:i/>
          <w:iCs/>
        </w:rPr>
        <w:t>June 2021</w:t>
      </w:r>
    </w:p>
    <w:p w14:paraId="26A3F122" w14:textId="77777777" w:rsidR="000F53C9" w:rsidRPr="005972A6" w:rsidRDefault="000F53C9" w:rsidP="0067680A">
      <w:pPr>
        <w:contextualSpacing/>
        <w:rPr>
          <w:rFonts w:cstheme="minorHAnsi"/>
        </w:rPr>
      </w:pPr>
      <w:r w:rsidRPr="005972A6">
        <w:rPr>
          <w:rFonts w:cstheme="minorHAnsi"/>
        </w:rPr>
        <w:t>Please contact the Centre for Learning and Teaching if you need any more information</w:t>
      </w:r>
      <w:r w:rsidR="001F38FC" w:rsidRPr="005972A6">
        <w:rPr>
          <w:rFonts w:cstheme="minorHAnsi"/>
        </w:rPr>
        <w:t>:</w:t>
      </w:r>
    </w:p>
    <w:p w14:paraId="43E34942" w14:textId="00A16219" w:rsidR="000C3EA8" w:rsidRPr="005972A6" w:rsidRDefault="001F38FC" w:rsidP="0067680A">
      <w:pPr>
        <w:contextualSpacing/>
        <w:rPr>
          <w:rFonts w:cstheme="minorHAnsi"/>
          <w:color w:val="FFFFFF" w:themeColor="background1"/>
        </w:rPr>
      </w:pPr>
      <w:r w:rsidRPr="005972A6">
        <w:rPr>
          <w:rFonts w:cstheme="minorHAnsi"/>
        </w:rPr>
        <w:t>clt@leedsbeckett.</w:t>
      </w:r>
      <w:r w:rsidR="001A1512">
        <w:rPr>
          <w:rFonts w:cstheme="minorHAnsi"/>
        </w:rPr>
        <w:t>ac.uk</w:t>
      </w:r>
      <w:r w:rsidR="000C3EA8" w:rsidRPr="005972A6">
        <w:rPr>
          <w:rFonts w:cstheme="minorHAnsi"/>
          <w:color w:val="FFFFFF" w:themeColor="background1"/>
        </w:rPr>
        <w:t>k</w:t>
      </w:r>
    </w:p>
    <w:p w14:paraId="017E2EBD" w14:textId="77777777" w:rsidR="001F38FC" w:rsidRPr="005972A6" w:rsidRDefault="001F38FC">
      <w:pPr>
        <w:rPr>
          <w:rFonts w:cstheme="minorHAnsi"/>
        </w:rPr>
        <w:sectPr w:rsidR="001F38FC" w:rsidRPr="005972A6" w:rsidSect="00A131BC">
          <w:headerReference w:type="default" r:id="rId17"/>
          <w:footerReference w:type="default" r:id="rId18"/>
          <w:headerReference w:type="first" r:id="rId19"/>
          <w:pgSz w:w="11906" w:h="16838"/>
          <w:pgMar w:top="1440" w:right="1440" w:bottom="1440" w:left="1440" w:header="708" w:footer="708" w:gutter="0"/>
          <w:cols w:space="708"/>
          <w:titlePg/>
          <w:docGrid w:linePitch="360"/>
        </w:sectPr>
      </w:pPr>
    </w:p>
    <w:p w14:paraId="60D3C041" w14:textId="77777777" w:rsidR="0028563C" w:rsidRPr="005972A6" w:rsidRDefault="0028563C">
      <w:pPr>
        <w:rPr>
          <w:rFonts w:cstheme="minorHAnsi"/>
        </w:rPr>
      </w:pPr>
    </w:p>
    <w:p w14:paraId="36837547" w14:textId="77777777" w:rsidR="001F38FC" w:rsidRPr="005972A6" w:rsidRDefault="001F38FC">
      <w:pPr>
        <w:rPr>
          <w:rFonts w:cstheme="minorHAnsi"/>
        </w:rPr>
      </w:pPr>
    </w:p>
    <w:p w14:paraId="6C36E6CD" w14:textId="77777777" w:rsidR="001F38FC" w:rsidRPr="005972A6" w:rsidRDefault="001F38FC">
      <w:pPr>
        <w:rPr>
          <w:rFonts w:cstheme="minorHAnsi"/>
        </w:rPr>
      </w:pPr>
    </w:p>
    <w:p w14:paraId="114147A7" w14:textId="77777777" w:rsidR="001F38FC" w:rsidRPr="005972A6" w:rsidRDefault="001F38FC">
      <w:pPr>
        <w:rPr>
          <w:rFonts w:cstheme="minorHAnsi"/>
        </w:rPr>
      </w:pPr>
    </w:p>
    <w:p w14:paraId="10668AD7" w14:textId="77777777" w:rsidR="001F38FC" w:rsidRPr="005972A6" w:rsidRDefault="001F38FC">
      <w:pPr>
        <w:rPr>
          <w:rFonts w:cstheme="minorHAnsi"/>
        </w:rPr>
      </w:pPr>
    </w:p>
    <w:p w14:paraId="48E92449" w14:textId="77777777" w:rsidR="001F38FC" w:rsidRPr="005972A6" w:rsidRDefault="001F38FC">
      <w:pPr>
        <w:rPr>
          <w:rFonts w:cstheme="minorHAnsi"/>
        </w:rPr>
      </w:pPr>
    </w:p>
    <w:p w14:paraId="3321D79E" w14:textId="77777777" w:rsidR="001F38FC" w:rsidRPr="005972A6" w:rsidRDefault="001F38FC">
      <w:pPr>
        <w:rPr>
          <w:rFonts w:cstheme="minorHAnsi"/>
        </w:rPr>
      </w:pPr>
    </w:p>
    <w:p w14:paraId="34598CBC" w14:textId="77777777" w:rsidR="001F38FC" w:rsidRDefault="001F38FC">
      <w:pPr>
        <w:rPr>
          <w:rFonts w:cstheme="minorHAnsi"/>
        </w:rPr>
      </w:pPr>
    </w:p>
    <w:p w14:paraId="6A78D4F2" w14:textId="77777777" w:rsidR="001F38FC" w:rsidRDefault="001F38FC">
      <w:pPr>
        <w:rPr>
          <w:rFonts w:cstheme="minorHAnsi"/>
        </w:rPr>
      </w:pPr>
    </w:p>
    <w:p w14:paraId="388E4126" w14:textId="77777777" w:rsidR="001F38FC" w:rsidRDefault="001F38FC">
      <w:pPr>
        <w:rPr>
          <w:rFonts w:cstheme="minorHAnsi"/>
        </w:rPr>
      </w:pPr>
    </w:p>
    <w:p w14:paraId="44662499" w14:textId="77777777" w:rsidR="001F38FC" w:rsidRDefault="001F38FC">
      <w:pPr>
        <w:rPr>
          <w:rFonts w:cstheme="minorHAnsi"/>
        </w:rPr>
      </w:pPr>
    </w:p>
    <w:p w14:paraId="1D96DA99" w14:textId="77777777" w:rsidR="001F38FC" w:rsidRDefault="001F38FC">
      <w:pPr>
        <w:rPr>
          <w:rFonts w:cstheme="minorHAnsi"/>
        </w:rPr>
      </w:pPr>
    </w:p>
    <w:p w14:paraId="3F4CF154" w14:textId="77777777" w:rsidR="001F38FC" w:rsidRDefault="001F38FC">
      <w:pPr>
        <w:rPr>
          <w:rFonts w:cstheme="minorHAnsi"/>
        </w:rPr>
      </w:pPr>
    </w:p>
    <w:p w14:paraId="05D303E1" w14:textId="77777777" w:rsidR="001F38FC" w:rsidRDefault="001F38FC">
      <w:pPr>
        <w:rPr>
          <w:rFonts w:cstheme="minorHAnsi"/>
        </w:rPr>
      </w:pPr>
    </w:p>
    <w:p w14:paraId="0B48727C" w14:textId="77777777" w:rsidR="001F38FC" w:rsidRDefault="001F38FC">
      <w:pPr>
        <w:rPr>
          <w:rFonts w:cstheme="minorHAnsi"/>
        </w:rPr>
      </w:pPr>
    </w:p>
    <w:p w14:paraId="755CA4CF" w14:textId="77777777" w:rsidR="001F38FC" w:rsidRDefault="001F38FC">
      <w:pPr>
        <w:rPr>
          <w:rFonts w:cstheme="minorHAnsi"/>
        </w:rPr>
      </w:pPr>
    </w:p>
    <w:p w14:paraId="7E2B8804" w14:textId="77777777" w:rsidR="001F38FC" w:rsidRDefault="001F38FC">
      <w:pPr>
        <w:rPr>
          <w:rFonts w:cstheme="minorHAnsi"/>
        </w:rPr>
      </w:pPr>
    </w:p>
    <w:p w14:paraId="670DF42B" w14:textId="77777777" w:rsidR="001F38FC" w:rsidRDefault="001F38FC">
      <w:pPr>
        <w:rPr>
          <w:rFonts w:cstheme="minorHAnsi"/>
        </w:rPr>
      </w:pPr>
    </w:p>
    <w:p w14:paraId="1D5CF30F" w14:textId="77777777" w:rsidR="001F38FC" w:rsidRDefault="001F38FC">
      <w:pPr>
        <w:rPr>
          <w:rFonts w:cstheme="minorHAnsi"/>
        </w:rPr>
      </w:pPr>
    </w:p>
    <w:p w14:paraId="11E54D56" w14:textId="77777777" w:rsidR="001F38FC" w:rsidRDefault="001F38FC">
      <w:pPr>
        <w:rPr>
          <w:rFonts w:cstheme="minorHAnsi"/>
        </w:rPr>
      </w:pPr>
    </w:p>
    <w:p w14:paraId="24D48947" w14:textId="77777777" w:rsidR="001F38FC" w:rsidRDefault="001F38FC">
      <w:pPr>
        <w:rPr>
          <w:rFonts w:cstheme="minorHAnsi"/>
        </w:rPr>
      </w:pPr>
    </w:p>
    <w:p w14:paraId="08A322A4" w14:textId="77777777" w:rsidR="001F38FC" w:rsidRDefault="001F38FC">
      <w:pPr>
        <w:rPr>
          <w:rFonts w:cstheme="minorHAnsi"/>
        </w:rPr>
      </w:pPr>
    </w:p>
    <w:p w14:paraId="7574A9BE" w14:textId="77777777" w:rsidR="001F38FC" w:rsidRDefault="001F38FC">
      <w:pPr>
        <w:rPr>
          <w:rFonts w:cstheme="minorHAnsi"/>
        </w:rPr>
      </w:pPr>
    </w:p>
    <w:p w14:paraId="17A0D8C2" w14:textId="77777777" w:rsidR="001F38FC" w:rsidRDefault="001F38FC">
      <w:pPr>
        <w:rPr>
          <w:rFonts w:cstheme="minorHAnsi"/>
        </w:rPr>
      </w:pPr>
    </w:p>
    <w:p w14:paraId="10A85256" w14:textId="77777777" w:rsidR="001F38FC" w:rsidRDefault="001F38FC">
      <w:pPr>
        <w:rPr>
          <w:rFonts w:cstheme="minorHAnsi"/>
        </w:rPr>
      </w:pPr>
    </w:p>
    <w:p w14:paraId="246B6823" w14:textId="77777777" w:rsidR="001F38FC" w:rsidRDefault="001F38FC">
      <w:pPr>
        <w:rPr>
          <w:rFonts w:cstheme="minorHAnsi"/>
          <w:b/>
          <w:color w:val="FFFFFF" w:themeColor="background1"/>
          <w:sz w:val="32"/>
          <w:szCs w:val="32"/>
        </w:rPr>
      </w:pPr>
    </w:p>
    <w:p w14:paraId="4786D7B6" w14:textId="77777777" w:rsidR="001F38FC" w:rsidRPr="001F38FC" w:rsidRDefault="001F38FC">
      <w:pPr>
        <w:rPr>
          <w:rFonts w:cstheme="minorHAnsi"/>
          <w:b/>
        </w:rPr>
      </w:pPr>
      <w:r w:rsidRPr="001F38FC">
        <w:rPr>
          <w:rFonts w:cstheme="minorHAnsi"/>
          <w:b/>
          <w:color w:val="FFFFFF" w:themeColor="background1"/>
          <w:sz w:val="32"/>
          <w:szCs w:val="32"/>
        </w:rPr>
        <w:t>Produced by the Centre for Learning &amp; Teaching</w:t>
      </w:r>
    </w:p>
    <w:sectPr w:rsidR="001F38FC" w:rsidRPr="001F38FC" w:rsidSect="001F38F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A7A60" w14:textId="77777777" w:rsidR="00A1149A" w:rsidRDefault="00A1149A" w:rsidP="00A131BC">
      <w:pPr>
        <w:spacing w:after="0" w:line="240" w:lineRule="auto"/>
      </w:pPr>
      <w:r>
        <w:separator/>
      </w:r>
    </w:p>
  </w:endnote>
  <w:endnote w:type="continuationSeparator" w:id="0">
    <w:p w14:paraId="056DB238" w14:textId="77777777" w:rsidR="00A1149A" w:rsidRDefault="00A1149A" w:rsidP="00A1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Roboto">
    <w:altName w:val="Arial"/>
    <w:panose1 w:val="02000000000000000000"/>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598835"/>
      <w:docPartObj>
        <w:docPartGallery w:val="Page Numbers (Bottom of Page)"/>
        <w:docPartUnique/>
      </w:docPartObj>
    </w:sdtPr>
    <w:sdtEndPr>
      <w:rPr>
        <w:noProof/>
      </w:rPr>
    </w:sdtEndPr>
    <w:sdtContent>
      <w:p w14:paraId="20A23919" w14:textId="77777777" w:rsidR="009C54EA" w:rsidRDefault="009C54EA">
        <w:pPr>
          <w:pStyle w:val="Footer"/>
          <w:jc w:val="right"/>
        </w:pPr>
        <w:r w:rsidRPr="005F257E">
          <w:rPr>
            <w:noProof/>
            <w:lang w:eastAsia="en-GB"/>
          </w:rPr>
          <w:drawing>
            <wp:anchor distT="0" distB="0" distL="114300" distR="114300" simplePos="0" relativeHeight="251661312" behindDoc="0" locked="0" layoutInCell="1" allowOverlap="1" wp14:anchorId="3A8FFDB6" wp14:editId="4104F267">
              <wp:simplePos x="0" y="0"/>
              <wp:positionH relativeFrom="column">
                <wp:posOffset>-561975</wp:posOffset>
              </wp:positionH>
              <wp:positionV relativeFrom="paragraph">
                <wp:posOffset>13970</wp:posOffset>
              </wp:positionV>
              <wp:extent cx="1581150" cy="419735"/>
              <wp:effectExtent l="0" t="0" r="0" b="0"/>
              <wp:wrapSquare wrapText="bothSides"/>
              <wp:docPr id="3" name="Picture 3" descr="H:\8. Learning Pathway\DEAP logo work\CLT branding\CLT brand wheels purple t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8. Learning Pathway\DEAP logo work\CLT branding\CLT brand wheels purple tx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419735"/>
                      </a:xfrm>
                      <a:prstGeom prst="rect">
                        <a:avLst/>
                      </a:prstGeom>
                      <a:noFill/>
                      <a:ln>
                        <a:noFill/>
                      </a:ln>
                    </pic:spPr>
                  </pic:pic>
                </a:graphicData>
              </a:graphic>
            </wp:anchor>
          </w:drawing>
        </w:r>
        <w:r>
          <w:fldChar w:fldCharType="begin"/>
        </w:r>
        <w:r>
          <w:instrText xml:space="preserve"> PAGE   \* MERGEFORMAT </w:instrText>
        </w:r>
        <w:r>
          <w:fldChar w:fldCharType="separate"/>
        </w:r>
        <w:r w:rsidR="001F38FC">
          <w:rPr>
            <w:noProof/>
          </w:rPr>
          <w:t>3</w:t>
        </w:r>
        <w:r>
          <w:rPr>
            <w:noProof/>
          </w:rPr>
          <w:fldChar w:fldCharType="end"/>
        </w:r>
      </w:p>
    </w:sdtContent>
  </w:sdt>
  <w:p w14:paraId="0A7535B9" w14:textId="77777777" w:rsidR="009C54EA" w:rsidRDefault="009C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97A9A" w14:textId="77777777" w:rsidR="00A1149A" w:rsidRDefault="00A1149A" w:rsidP="00A131BC">
      <w:pPr>
        <w:spacing w:after="0" w:line="240" w:lineRule="auto"/>
      </w:pPr>
      <w:r>
        <w:separator/>
      </w:r>
    </w:p>
  </w:footnote>
  <w:footnote w:type="continuationSeparator" w:id="0">
    <w:p w14:paraId="74B35629" w14:textId="77777777" w:rsidR="00A1149A" w:rsidRDefault="00A1149A" w:rsidP="00A1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4C0F" w14:textId="63802D97" w:rsidR="005831D5" w:rsidRPr="005831D5" w:rsidRDefault="005831D5">
    <w:pPr>
      <w:pStyle w:val="Header"/>
      <w:rPr>
        <w:rFonts w:ascii="Arial Black" w:hAnsi="Arial Black"/>
      </w:rPr>
    </w:pPr>
    <w:r>
      <w:rPr>
        <w:rFonts w:ascii="Arial Black" w:hAnsi="Arial Black"/>
      </w:rPr>
      <w:t>Ideas for Differentiated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5C7D" w14:textId="77777777" w:rsidR="00A131BC" w:rsidRDefault="00A131BC">
    <w:pPr>
      <w:pStyle w:val="Header"/>
    </w:pPr>
    <w:r w:rsidRPr="00A131BC">
      <w:rPr>
        <w:noProof/>
        <w:lang w:eastAsia="en-GB"/>
      </w:rPr>
      <w:drawing>
        <wp:anchor distT="0" distB="0" distL="114300" distR="114300" simplePos="0" relativeHeight="251660288" behindDoc="0" locked="0" layoutInCell="1" allowOverlap="1" wp14:anchorId="75D4379A" wp14:editId="6965F525">
          <wp:simplePos x="0" y="0"/>
          <wp:positionH relativeFrom="margin">
            <wp:align>left</wp:align>
          </wp:positionH>
          <wp:positionV relativeFrom="paragraph">
            <wp:posOffset>533059</wp:posOffset>
          </wp:positionV>
          <wp:extent cx="1758657" cy="736979"/>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BU_Logo_White.png"/>
                  <pic:cNvPicPr/>
                </pic:nvPicPr>
                <pic:blipFill>
                  <a:blip r:embed="rId1"/>
                  <a:stretch>
                    <a:fillRect/>
                  </a:stretch>
                </pic:blipFill>
                <pic:spPr>
                  <a:xfrm>
                    <a:off x="0" y="0"/>
                    <a:ext cx="1764000" cy="739475"/>
                  </a:xfrm>
                  <a:prstGeom prst="rect">
                    <a:avLst/>
                  </a:prstGeom>
                </pic:spPr>
              </pic:pic>
            </a:graphicData>
          </a:graphic>
        </wp:anchor>
      </w:drawing>
    </w:r>
    <w:r w:rsidR="00917EA3">
      <w:rPr>
        <w:noProof/>
        <w:lang w:eastAsia="en-GB"/>
      </w:rPr>
      <mc:AlternateContent>
        <mc:Choice Requires="wps">
          <w:drawing>
            <wp:anchor distT="0" distB="0" distL="114300" distR="114300" simplePos="0" relativeHeight="251658240" behindDoc="0" locked="0" layoutInCell="1" allowOverlap="1" wp14:anchorId="077A835B" wp14:editId="020DF7A7">
              <wp:simplePos x="0" y="0"/>
              <wp:positionH relativeFrom="column">
                <wp:posOffset>-932815</wp:posOffset>
              </wp:positionH>
              <wp:positionV relativeFrom="paragraph">
                <wp:posOffset>-449580</wp:posOffset>
              </wp:positionV>
              <wp:extent cx="7717790" cy="10922000"/>
              <wp:effectExtent l="635" t="0" r="0" b="241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7790" cy="109220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2FC601" id="Rectangle 4" o:spid="_x0000_s1026" style="position:absolute;margin-left:-73.45pt;margin-top:-35.4pt;width:607.7pt;height:8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" fillcolor="#753bbd" stroked="f">
              <v:shadow on="t" color="black" opacity="22936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31CD9"/>
    <w:multiLevelType w:val="hybridMultilevel"/>
    <w:tmpl w:val="EC46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E6D97"/>
    <w:multiLevelType w:val="multilevel"/>
    <w:tmpl w:val="245E6D9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2753A5"/>
    <w:multiLevelType w:val="hybridMultilevel"/>
    <w:tmpl w:val="DBF01A92"/>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41317"/>
    <w:multiLevelType w:val="multilevel"/>
    <w:tmpl w:val="2AA41317"/>
    <w:lvl w:ilvl="0">
      <w:start w:val="1"/>
      <w:numFmt w:val="decimal"/>
      <w:lvlText w:val="%1."/>
      <w:lvlJc w:val="left"/>
      <w:pPr>
        <w:ind w:left="64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627CDC"/>
    <w:multiLevelType w:val="hybridMultilevel"/>
    <w:tmpl w:val="5038EE56"/>
    <w:lvl w:ilvl="0" w:tplc="D8ACCB9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DE"/>
    <w:rsid w:val="000639D0"/>
    <w:rsid w:val="000C37C5"/>
    <w:rsid w:val="000C3EA8"/>
    <w:rsid w:val="000C42D6"/>
    <w:rsid w:val="000F53C9"/>
    <w:rsid w:val="001517FD"/>
    <w:rsid w:val="001579D3"/>
    <w:rsid w:val="001A1512"/>
    <w:rsid w:val="001F03D2"/>
    <w:rsid w:val="001F38FC"/>
    <w:rsid w:val="0020478C"/>
    <w:rsid w:val="00207DBA"/>
    <w:rsid w:val="0028563C"/>
    <w:rsid w:val="002F23AF"/>
    <w:rsid w:val="00303B34"/>
    <w:rsid w:val="00327F3E"/>
    <w:rsid w:val="00363539"/>
    <w:rsid w:val="00377F3E"/>
    <w:rsid w:val="00397804"/>
    <w:rsid w:val="0039796F"/>
    <w:rsid w:val="003F379C"/>
    <w:rsid w:val="00416B8D"/>
    <w:rsid w:val="004902B0"/>
    <w:rsid w:val="005831D5"/>
    <w:rsid w:val="005972A6"/>
    <w:rsid w:val="005C396A"/>
    <w:rsid w:val="0067680A"/>
    <w:rsid w:val="006E60C8"/>
    <w:rsid w:val="0073241D"/>
    <w:rsid w:val="00762848"/>
    <w:rsid w:val="00770816"/>
    <w:rsid w:val="007D5108"/>
    <w:rsid w:val="008D20C3"/>
    <w:rsid w:val="008F321C"/>
    <w:rsid w:val="00917EA3"/>
    <w:rsid w:val="009920DE"/>
    <w:rsid w:val="009C54EA"/>
    <w:rsid w:val="009F5809"/>
    <w:rsid w:val="00A1149A"/>
    <w:rsid w:val="00A131BC"/>
    <w:rsid w:val="00A40498"/>
    <w:rsid w:val="00A66215"/>
    <w:rsid w:val="00A7460B"/>
    <w:rsid w:val="00A75E3F"/>
    <w:rsid w:val="00AF364A"/>
    <w:rsid w:val="00B6361B"/>
    <w:rsid w:val="00BE5ADE"/>
    <w:rsid w:val="00C7331B"/>
    <w:rsid w:val="00C83319"/>
    <w:rsid w:val="00CD5D63"/>
    <w:rsid w:val="00E22478"/>
    <w:rsid w:val="00E276F7"/>
    <w:rsid w:val="00E86721"/>
    <w:rsid w:val="00F1523B"/>
    <w:rsid w:val="00F44998"/>
    <w:rsid w:val="00FD49E6"/>
    <w:rsid w:val="00FE6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7B09AF"/>
  <w15:docId w15:val="{7398CF26-5DBE-4C92-B698-427A9E80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A8"/>
  </w:style>
  <w:style w:type="paragraph" w:styleId="Heading2">
    <w:name w:val="heading 2"/>
    <w:basedOn w:val="Normal"/>
    <w:next w:val="Normal"/>
    <w:link w:val="Heading2Char"/>
    <w:uiPriority w:val="9"/>
    <w:unhideWhenUsed/>
    <w:qFormat/>
    <w:rsid w:val="000C42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1BC"/>
  </w:style>
  <w:style w:type="paragraph" w:styleId="Footer">
    <w:name w:val="footer"/>
    <w:basedOn w:val="Normal"/>
    <w:link w:val="FooterChar"/>
    <w:uiPriority w:val="99"/>
    <w:unhideWhenUsed/>
    <w:rsid w:val="00A13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1BC"/>
  </w:style>
  <w:style w:type="paragraph" w:customStyle="1" w:styleId="BasicParagraph">
    <w:name w:val="[Basic Paragraph]"/>
    <w:basedOn w:val="Normal"/>
    <w:uiPriority w:val="99"/>
    <w:rsid w:val="00A131B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character" w:styleId="Hyperlink">
    <w:name w:val="Hyperlink"/>
    <w:basedOn w:val="DefaultParagraphFont"/>
    <w:uiPriority w:val="99"/>
    <w:unhideWhenUsed/>
    <w:qFormat/>
    <w:rsid w:val="00E86721"/>
    <w:rPr>
      <w:color w:val="0000FF" w:themeColor="hyperlink"/>
      <w:u w:val="single"/>
    </w:rPr>
  </w:style>
  <w:style w:type="paragraph" w:styleId="ListParagraph">
    <w:name w:val="List Paragraph"/>
    <w:basedOn w:val="Normal"/>
    <w:uiPriority w:val="34"/>
    <w:qFormat/>
    <w:rsid w:val="00E86721"/>
    <w:pPr>
      <w:spacing w:after="160" w:line="259" w:lineRule="auto"/>
      <w:ind w:left="720"/>
      <w:contextualSpacing/>
    </w:pPr>
  </w:style>
  <w:style w:type="paragraph" w:styleId="BalloonText">
    <w:name w:val="Balloon Text"/>
    <w:basedOn w:val="Normal"/>
    <w:link w:val="BalloonTextChar"/>
    <w:uiPriority w:val="99"/>
    <w:semiHidden/>
    <w:unhideWhenUsed/>
    <w:rsid w:val="001F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D2"/>
    <w:rPr>
      <w:rFonts w:ascii="Segoe UI" w:hAnsi="Segoe UI" w:cs="Segoe UI"/>
      <w:sz w:val="18"/>
      <w:szCs w:val="18"/>
    </w:rPr>
  </w:style>
  <w:style w:type="character" w:styleId="CommentReference">
    <w:name w:val="annotation reference"/>
    <w:basedOn w:val="DefaultParagraphFont"/>
    <w:uiPriority w:val="99"/>
    <w:semiHidden/>
    <w:unhideWhenUsed/>
    <w:rsid w:val="00AF364A"/>
    <w:rPr>
      <w:sz w:val="16"/>
      <w:szCs w:val="16"/>
    </w:rPr>
  </w:style>
  <w:style w:type="paragraph" w:styleId="CommentText">
    <w:name w:val="annotation text"/>
    <w:basedOn w:val="Normal"/>
    <w:link w:val="CommentTextChar"/>
    <w:uiPriority w:val="99"/>
    <w:semiHidden/>
    <w:unhideWhenUsed/>
    <w:rsid w:val="00AF364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F364A"/>
    <w:rPr>
      <w:sz w:val="20"/>
      <w:szCs w:val="20"/>
    </w:rPr>
  </w:style>
  <w:style w:type="character" w:styleId="Mention">
    <w:name w:val="Mention"/>
    <w:basedOn w:val="DefaultParagraphFont"/>
    <w:uiPriority w:val="99"/>
    <w:unhideWhenUsed/>
    <w:rsid w:val="00416B8D"/>
    <w:rPr>
      <w:color w:val="2B579A"/>
      <w:shd w:val="clear" w:color="auto" w:fill="E6E6E6"/>
    </w:rPr>
  </w:style>
  <w:style w:type="character" w:customStyle="1" w:styleId="tooltiplink">
    <w:name w:val="tooltiplink"/>
    <w:basedOn w:val="DefaultParagraphFont"/>
    <w:rsid w:val="007D5108"/>
  </w:style>
  <w:style w:type="character" w:customStyle="1" w:styleId="Heading2Char">
    <w:name w:val="Heading 2 Char"/>
    <w:basedOn w:val="DefaultParagraphFont"/>
    <w:link w:val="Heading2"/>
    <w:uiPriority w:val="9"/>
    <w:rsid w:val="000C42D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0C42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56624">
      <w:bodyDiv w:val="1"/>
      <w:marLeft w:val="0"/>
      <w:marRight w:val="0"/>
      <w:marTop w:val="0"/>
      <w:marBottom w:val="0"/>
      <w:divBdr>
        <w:top w:val="none" w:sz="0" w:space="0" w:color="auto"/>
        <w:left w:val="none" w:sz="0" w:space="0" w:color="auto"/>
        <w:bottom w:val="none" w:sz="0" w:space="0" w:color="auto"/>
        <w:right w:val="none" w:sz="0" w:space="0" w:color="auto"/>
      </w:divBdr>
      <w:divsChild>
        <w:div w:id="114369989">
          <w:marLeft w:val="0"/>
          <w:marRight w:val="0"/>
          <w:marTop w:val="0"/>
          <w:marBottom w:val="0"/>
          <w:divBdr>
            <w:top w:val="none" w:sz="0" w:space="0" w:color="auto"/>
            <w:left w:val="none" w:sz="0" w:space="0" w:color="auto"/>
            <w:bottom w:val="none" w:sz="0" w:space="0" w:color="auto"/>
            <w:right w:val="none" w:sz="0" w:space="0" w:color="auto"/>
          </w:divBdr>
        </w:div>
      </w:divsChild>
    </w:div>
    <w:div w:id="83960416">
      <w:bodyDiv w:val="1"/>
      <w:marLeft w:val="0"/>
      <w:marRight w:val="0"/>
      <w:marTop w:val="0"/>
      <w:marBottom w:val="0"/>
      <w:divBdr>
        <w:top w:val="none" w:sz="0" w:space="0" w:color="auto"/>
        <w:left w:val="none" w:sz="0" w:space="0" w:color="auto"/>
        <w:bottom w:val="none" w:sz="0" w:space="0" w:color="auto"/>
        <w:right w:val="none" w:sz="0" w:space="0" w:color="auto"/>
      </w:divBdr>
    </w:div>
    <w:div w:id="542449260">
      <w:bodyDiv w:val="1"/>
      <w:marLeft w:val="0"/>
      <w:marRight w:val="0"/>
      <w:marTop w:val="0"/>
      <w:marBottom w:val="0"/>
      <w:divBdr>
        <w:top w:val="none" w:sz="0" w:space="0" w:color="auto"/>
        <w:left w:val="none" w:sz="0" w:space="0" w:color="auto"/>
        <w:bottom w:val="none" w:sz="0" w:space="0" w:color="auto"/>
        <w:right w:val="none" w:sz="0" w:space="0" w:color="auto"/>
      </w:divBdr>
      <w:divsChild>
        <w:div w:id="196550636">
          <w:marLeft w:val="0"/>
          <w:marRight w:val="0"/>
          <w:marTop w:val="0"/>
          <w:marBottom w:val="0"/>
          <w:divBdr>
            <w:top w:val="none" w:sz="0" w:space="0" w:color="auto"/>
            <w:left w:val="none" w:sz="0" w:space="0" w:color="auto"/>
            <w:bottom w:val="none" w:sz="0" w:space="0" w:color="auto"/>
            <w:right w:val="none" w:sz="0" w:space="0" w:color="auto"/>
          </w:divBdr>
        </w:div>
      </w:divsChild>
    </w:div>
    <w:div w:id="1078014079">
      <w:bodyDiv w:val="1"/>
      <w:marLeft w:val="0"/>
      <w:marRight w:val="0"/>
      <w:marTop w:val="0"/>
      <w:marBottom w:val="0"/>
      <w:divBdr>
        <w:top w:val="none" w:sz="0" w:space="0" w:color="auto"/>
        <w:left w:val="none" w:sz="0" w:space="0" w:color="auto"/>
        <w:bottom w:val="none" w:sz="0" w:space="0" w:color="auto"/>
        <w:right w:val="none" w:sz="0" w:space="0" w:color="auto"/>
      </w:divBdr>
    </w:div>
    <w:div w:id="1201237135">
      <w:bodyDiv w:val="1"/>
      <w:marLeft w:val="0"/>
      <w:marRight w:val="0"/>
      <w:marTop w:val="0"/>
      <w:marBottom w:val="0"/>
      <w:divBdr>
        <w:top w:val="none" w:sz="0" w:space="0" w:color="auto"/>
        <w:left w:val="none" w:sz="0" w:space="0" w:color="auto"/>
        <w:bottom w:val="none" w:sz="0" w:space="0" w:color="auto"/>
        <w:right w:val="none" w:sz="0" w:space="0" w:color="auto"/>
      </w:divBdr>
    </w:div>
    <w:div w:id="1566991020">
      <w:bodyDiv w:val="1"/>
      <w:marLeft w:val="0"/>
      <w:marRight w:val="0"/>
      <w:marTop w:val="0"/>
      <w:marBottom w:val="0"/>
      <w:divBdr>
        <w:top w:val="none" w:sz="0" w:space="0" w:color="auto"/>
        <w:left w:val="none" w:sz="0" w:space="0" w:color="auto"/>
        <w:bottom w:val="none" w:sz="0" w:space="0" w:color="auto"/>
        <w:right w:val="none" w:sz="0" w:space="0" w:color="auto"/>
      </w:divBdr>
      <w:divsChild>
        <w:div w:id="206598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603116.2020.1813450" TargetMode="External"/><Relationship Id="rId13" Type="http://schemas.openxmlformats.org/officeDocument/2006/relationships/hyperlink" Target="https://teachlearn.leedsbeckett.ac.uk/teaching-and-learning/feedbac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achlearn.leedsbeckett.ac.uk/teaching-and-learning/assess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achlearn.leedsbeckett.ac.uk/-/media/files/clt/differentiating-instruction-for-large-class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learn.leedsbeckett.ac.uk/teaching-and-learning/assessment/" TargetMode="External"/><Relationship Id="rId5" Type="http://schemas.openxmlformats.org/officeDocument/2006/relationships/webSettings" Target="webSettings.xml"/><Relationship Id="rId15" Type="http://schemas.openxmlformats.org/officeDocument/2006/relationships/hyperlink" Target="https://www.tandfonline.com/doi/abs/10.1080/01425692.2012.722285" TargetMode="External"/><Relationship Id="rId10" Type="http://schemas.openxmlformats.org/officeDocument/2006/relationships/hyperlink" Target="https://teachlearn.leedsbeckett.ac.uk/guides/mybeckett-and-digital-learning-guides/mybeckett/add-an-online-reading-lis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achlearn.leedsbeckett.ac.uk/the-learning-pathway/challenging-your-students/challenging-curriculum/personalised-learning/" TargetMode="External"/><Relationship Id="rId14" Type="http://schemas.openxmlformats.org/officeDocument/2006/relationships/hyperlink" Target="https://www.jisc.ac.uk/reports/learning-analytics-in-higher-educ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87E2-0494-420C-9BC0-D0C024CB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Brasss</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Sellers, Rebecca</cp:lastModifiedBy>
  <cp:revision>4</cp:revision>
  <cp:lastPrinted>2018-12-20T12:47:00Z</cp:lastPrinted>
  <dcterms:created xsi:type="dcterms:W3CDTF">2021-07-01T13:25:00Z</dcterms:created>
  <dcterms:modified xsi:type="dcterms:W3CDTF">2021-07-01T13:27:00Z</dcterms:modified>
</cp:coreProperties>
</file>