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F693C" w14:textId="77777777" w:rsidR="00DD74C5" w:rsidRPr="00E02BB8" w:rsidRDefault="00DD74C5" w:rsidP="00871217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E02BB8">
        <w:rPr>
          <w:b/>
          <w:sz w:val="28"/>
          <w:szCs w:val="28"/>
        </w:rPr>
        <w:t xml:space="preserve">Section 1: </w:t>
      </w:r>
      <w:r w:rsidR="00A2006E">
        <w:rPr>
          <w:b/>
          <w:sz w:val="28"/>
          <w:szCs w:val="28"/>
        </w:rPr>
        <w:t>Contact details</w:t>
      </w:r>
    </w:p>
    <w:p w14:paraId="51550746" w14:textId="77777777" w:rsidR="00FA272C" w:rsidRPr="00FA272C" w:rsidRDefault="00FA272C" w:rsidP="00871217">
      <w:pPr>
        <w:pStyle w:val="NoSpacing"/>
        <w:rPr>
          <w:i/>
        </w:rPr>
      </w:pPr>
      <w:r w:rsidRPr="00FA272C">
        <w:rPr>
          <w:i/>
        </w:rPr>
        <w:t>Please complete</w:t>
      </w:r>
      <w:r>
        <w:rPr>
          <w:i/>
        </w:rPr>
        <w:t xml:space="preserve"> your personal details and contact information in the spaces provided.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409"/>
      </w:tblGrid>
      <w:tr w:rsidR="003D5122" w:rsidRPr="00286C20" w14:paraId="73296977" w14:textId="77777777" w:rsidTr="00286C20">
        <w:tc>
          <w:tcPr>
            <w:tcW w:w="2660" w:type="dxa"/>
            <w:shd w:val="clear" w:color="auto" w:fill="F2F2F2"/>
          </w:tcPr>
          <w:p w14:paraId="4604F899" w14:textId="77777777" w:rsidR="003D5122" w:rsidRPr="00286C20" w:rsidRDefault="003D5122" w:rsidP="00871217">
            <w:pPr>
              <w:pStyle w:val="NoSpacing"/>
            </w:pPr>
            <w:r w:rsidRPr="00286C20">
              <w:t xml:space="preserve">Impact assessors name: </w:t>
            </w:r>
          </w:p>
        </w:tc>
        <w:tc>
          <w:tcPr>
            <w:tcW w:w="6582" w:type="dxa"/>
            <w:shd w:val="clear" w:color="auto" w:fill="auto"/>
          </w:tcPr>
          <w:p w14:paraId="47C1DC33" w14:textId="7C0912F6" w:rsidR="003D5122" w:rsidRPr="00286C20" w:rsidRDefault="00B14E6F" w:rsidP="00871217">
            <w:pPr>
              <w:pStyle w:val="NoSpacing"/>
            </w:pPr>
            <w:r>
              <w:t>Emma Gilbert</w:t>
            </w:r>
          </w:p>
        </w:tc>
      </w:tr>
      <w:tr w:rsidR="003D5122" w:rsidRPr="00286C20" w14:paraId="5D01BCBE" w14:textId="77777777" w:rsidTr="00286C20">
        <w:tc>
          <w:tcPr>
            <w:tcW w:w="2660" w:type="dxa"/>
            <w:shd w:val="clear" w:color="auto" w:fill="F2F2F2"/>
          </w:tcPr>
          <w:p w14:paraId="16BFEB60" w14:textId="77777777" w:rsidR="003D5122" w:rsidRPr="00286C20" w:rsidRDefault="003D5122" w:rsidP="00871217">
            <w:pPr>
              <w:pStyle w:val="NoSpacing"/>
            </w:pPr>
            <w:r w:rsidRPr="00286C20">
              <w:t>Job title:</w:t>
            </w:r>
          </w:p>
        </w:tc>
        <w:tc>
          <w:tcPr>
            <w:tcW w:w="6582" w:type="dxa"/>
            <w:shd w:val="clear" w:color="auto" w:fill="auto"/>
          </w:tcPr>
          <w:p w14:paraId="5BB58024" w14:textId="2AEB8C43" w:rsidR="003D5122" w:rsidRPr="00286C20" w:rsidRDefault="00B14E6F" w:rsidP="00871217">
            <w:pPr>
              <w:pStyle w:val="NoSpacing"/>
            </w:pPr>
            <w:r>
              <w:t>Senior Events Officer</w:t>
            </w:r>
          </w:p>
        </w:tc>
      </w:tr>
      <w:tr w:rsidR="003D5122" w:rsidRPr="00286C20" w14:paraId="04697850" w14:textId="77777777" w:rsidTr="00286C20">
        <w:tc>
          <w:tcPr>
            <w:tcW w:w="2660" w:type="dxa"/>
            <w:shd w:val="clear" w:color="auto" w:fill="F2F2F2"/>
          </w:tcPr>
          <w:p w14:paraId="26B2B2CC" w14:textId="77777777" w:rsidR="003D5122" w:rsidRPr="00286C20" w:rsidRDefault="003D5122" w:rsidP="00871217">
            <w:pPr>
              <w:pStyle w:val="NoSpacing"/>
            </w:pPr>
            <w:r w:rsidRPr="00286C20">
              <w:t>Faculty/Service Area:</w:t>
            </w:r>
          </w:p>
        </w:tc>
        <w:tc>
          <w:tcPr>
            <w:tcW w:w="6582" w:type="dxa"/>
            <w:shd w:val="clear" w:color="auto" w:fill="auto"/>
          </w:tcPr>
          <w:p w14:paraId="3081F38F" w14:textId="77777777" w:rsidR="003D5122" w:rsidRPr="00286C20" w:rsidRDefault="00D904D3" w:rsidP="00871217">
            <w:pPr>
              <w:pStyle w:val="NoSpacing"/>
            </w:pPr>
            <w:r>
              <w:t>External Relations</w:t>
            </w:r>
          </w:p>
        </w:tc>
      </w:tr>
      <w:tr w:rsidR="003D5122" w:rsidRPr="00286C20" w14:paraId="2EDAD8B8" w14:textId="77777777" w:rsidTr="00286C20">
        <w:tc>
          <w:tcPr>
            <w:tcW w:w="2660" w:type="dxa"/>
            <w:shd w:val="clear" w:color="auto" w:fill="F2F2F2"/>
          </w:tcPr>
          <w:p w14:paraId="5D3953DA" w14:textId="77777777" w:rsidR="003D5122" w:rsidRPr="00286C20" w:rsidRDefault="003D5122" w:rsidP="00871217">
            <w:pPr>
              <w:pStyle w:val="NoSpacing"/>
            </w:pPr>
            <w:r w:rsidRPr="00286C20">
              <w:t>Email:</w:t>
            </w:r>
          </w:p>
        </w:tc>
        <w:tc>
          <w:tcPr>
            <w:tcW w:w="6582" w:type="dxa"/>
            <w:shd w:val="clear" w:color="auto" w:fill="auto"/>
          </w:tcPr>
          <w:p w14:paraId="7B52B446" w14:textId="3E8604CF" w:rsidR="003D5122" w:rsidRPr="00286C20" w:rsidRDefault="00B14E6F" w:rsidP="00871217">
            <w:pPr>
              <w:pStyle w:val="NoSpacing"/>
            </w:pPr>
            <w:r>
              <w:t>graduation</w:t>
            </w:r>
            <w:r w:rsidR="000942B2">
              <w:t>@leedsbeckett.ac.uk</w:t>
            </w:r>
          </w:p>
        </w:tc>
      </w:tr>
      <w:tr w:rsidR="003D5122" w:rsidRPr="00286C20" w14:paraId="48C6EBA3" w14:textId="77777777" w:rsidTr="00D904D3">
        <w:trPr>
          <w:trHeight w:val="73"/>
        </w:trPr>
        <w:tc>
          <w:tcPr>
            <w:tcW w:w="2660" w:type="dxa"/>
            <w:shd w:val="clear" w:color="auto" w:fill="F2F2F2"/>
          </w:tcPr>
          <w:p w14:paraId="1CB8C4EA" w14:textId="77777777" w:rsidR="003D5122" w:rsidRPr="00286C20" w:rsidRDefault="003D5122" w:rsidP="00871217">
            <w:pPr>
              <w:pStyle w:val="NoSpacing"/>
            </w:pPr>
            <w:r w:rsidRPr="00286C20">
              <w:t>Submission date:</w:t>
            </w:r>
          </w:p>
        </w:tc>
        <w:tc>
          <w:tcPr>
            <w:tcW w:w="6582" w:type="dxa"/>
            <w:shd w:val="clear" w:color="auto" w:fill="auto"/>
          </w:tcPr>
          <w:p w14:paraId="77671614" w14:textId="3ECA7E63" w:rsidR="003D5122" w:rsidRPr="00286C20" w:rsidRDefault="001D4777" w:rsidP="00B14E6F">
            <w:pPr>
              <w:pStyle w:val="NoSpacing"/>
            </w:pPr>
            <w:r w:rsidRPr="00B82F4B">
              <w:t>25 April 2019</w:t>
            </w:r>
          </w:p>
        </w:tc>
      </w:tr>
    </w:tbl>
    <w:p w14:paraId="124A9520" w14:textId="77777777" w:rsidR="00DD74C5" w:rsidRDefault="00DD74C5" w:rsidP="00871217">
      <w:pPr>
        <w:pStyle w:val="NoSpacing"/>
      </w:pPr>
    </w:p>
    <w:p w14:paraId="524795FC" w14:textId="77777777" w:rsidR="00DD74C5" w:rsidRPr="00E02BB8" w:rsidRDefault="00DD74C5" w:rsidP="00871217">
      <w:pPr>
        <w:pStyle w:val="NoSpacing"/>
        <w:rPr>
          <w:b/>
          <w:sz w:val="28"/>
          <w:szCs w:val="28"/>
        </w:rPr>
      </w:pPr>
      <w:r w:rsidRPr="00E02BB8">
        <w:rPr>
          <w:b/>
          <w:sz w:val="28"/>
          <w:szCs w:val="28"/>
        </w:rPr>
        <w:t>Section 2: About the policy, practice or procedure</w:t>
      </w:r>
    </w:p>
    <w:p w14:paraId="1F51C894" w14:textId="77777777" w:rsidR="00FA272C" w:rsidRPr="00FA272C" w:rsidRDefault="00FA272C" w:rsidP="00871217">
      <w:pPr>
        <w:pStyle w:val="NoSpacing"/>
        <w:rPr>
          <w:i/>
        </w:rPr>
      </w:pPr>
      <w:r>
        <w:rPr>
          <w:i/>
        </w:rPr>
        <w:t>Please describe what you are impact assessing and who it applies 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502"/>
        <w:gridCol w:w="1525"/>
        <w:gridCol w:w="1518"/>
        <w:gridCol w:w="1844"/>
      </w:tblGrid>
      <w:tr w:rsidR="00DD74C5" w:rsidRPr="00286C20" w14:paraId="1FA6E71D" w14:textId="77777777" w:rsidTr="00286C20">
        <w:tc>
          <w:tcPr>
            <w:tcW w:w="2660" w:type="dxa"/>
            <w:shd w:val="clear" w:color="auto" w:fill="F2F2F2"/>
          </w:tcPr>
          <w:p w14:paraId="1F889C0D" w14:textId="77777777" w:rsidR="00DD74C5" w:rsidRPr="00286C20" w:rsidRDefault="00DD74C5" w:rsidP="00871217">
            <w:pPr>
              <w:pStyle w:val="NoSpacing"/>
            </w:pPr>
            <w:r w:rsidRPr="00286C20">
              <w:t xml:space="preserve">Title: </w:t>
            </w:r>
          </w:p>
        </w:tc>
        <w:tc>
          <w:tcPr>
            <w:tcW w:w="6582" w:type="dxa"/>
            <w:gridSpan w:val="4"/>
            <w:shd w:val="clear" w:color="auto" w:fill="auto"/>
          </w:tcPr>
          <w:p w14:paraId="56D760BC" w14:textId="1DFD3212" w:rsidR="00DD74C5" w:rsidRPr="00286C20" w:rsidRDefault="00E145EB" w:rsidP="005A1135">
            <w:pPr>
              <w:pStyle w:val="NoSpacing"/>
            </w:pPr>
            <w:r>
              <w:t xml:space="preserve">This is the impact assessment for the annual summer graduation week </w:t>
            </w:r>
            <w:r w:rsidR="00D904D3">
              <w:t>1</w:t>
            </w:r>
            <w:r w:rsidR="005A1135">
              <w:t>5</w:t>
            </w:r>
            <w:r w:rsidR="00D904D3">
              <w:t>-</w:t>
            </w:r>
            <w:r w:rsidR="005A1135">
              <w:t>1</w:t>
            </w:r>
            <w:r w:rsidR="001B2A66">
              <w:t>8</w:t>
            </w:r>
            <w:r>
              <w:t xml:space="preserve"> July 201</w:t>
            </w:r>
            <w:r w:rsidR="005A1135">
              <w:t>9</w:t>
            </w:r>
          </w:p>
        </w:tc>
      </w:tr>
      <w:tr w:rsidR="00DD74C5" w:rsidRPr="00286C20" w14:paraId="55F424EB" w14:textId="77777777" w:rsidTr="00286C20">
        <w:tc>
          <w:tcPr>
            <w:tcW w:w="2660" w:type="dxa"/>
            <w:shd w:val="clear" w:color="auto" w:fill="F2F2F2"/>
          </w:tcPr>
          <w:p w14:paraId="60FCFCB4" w14:textId="77777777" w:rsidR="00DD74C5" w:rsidRPr="00286C20" w:rsidRDefault="00DD74C5" w:rsidP="00871217">
            <w:pPr>
              <w:pStyle w:val="NoSpacing"/>
            </w:pPr>
            <w:r w:rsidRPr="00286C20">
              <w:t>Description/purpose:</w:t>
            </w:r>
          </w:p>
        </w:tc>
        <w:tc>
          <w:tcPr>
            <w:tcW w:w="6582" w:type="dxa"/>
            <w:gridSpan w:val="4"/>
            <w:shd w:val="clear" w:color="auto" w:fill="auto"/>
          </w:tcPr>
          <w:p w14:paraId="647775EE" w14:textId="2BBA7739" w:rsidR="00A2006E" w:rsidRPr="00B14E6F" w:rsidRDefault="00B14E6F" w:rsidP="00286C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14E6F">
              <w:rPr>
                <w:rFonts w:asciiTheme="minorHAnsi" w:hAnsiTheme="minorHAnsi" w:cstheme="minorHAnsi"/>
              </w:rPr>
              <w:t>To ensure that policies are in place to protect and cater for all protected groups</w:t>
            </w:r>
          </w:p>
        </w:tc>
      </w:tr>
      <w:tr w:rsidR="00DD74C5" w:rsidRPr="00286C20" w14:paraId="562BDDF2" w14:textId="77777777" w:rsidTr="00286C20">
        <w:tc>
          <w:tcPr>
            <w:tcW w:w="2660" w:type="dxa"/>
            <w:shd w:val="clear" w:color="auto" w:fill="F2F2F2"/>
          </w:tcPr>
          <w:p w14:paraId="12393612" w14:textId="77777777" w:rsidR="00DD74C5" w:rsidRPr="00286C20" w:rsidRDefault="00B93E8B" w:rsidP="00871217">
            <w:pPr>
              <w:pStyle w:val="NoSpacing"/>
            </w:pPr>
            <w:r w:rsidRPr="00286C20">
              <w:t>People</w:t>
            </w:r>
            <w:r w:rsidR="00ED4D58" w:rsidRPr="00286C20">
              <w:t xml:space="preserve"> it a</w:t>
            </w:r>
            <w:r w:rsidR="00A455C6" w:rsidRPr="00286C20">
              <w:t>pplies to</w:t>
            </w:r>
            <w:r w:rsidR="00DD74C5" w:rsidRPr="00286C20">
              <w:t>:</w:t>
            </w:r>
          </w:p>
        </w:tc>
        <w:tc>
          <w:tcPr>
            <w:tcW w:w="1559" w:type="dxa"/>
            <w:shd w:val="clear" w:color="auto" w:fill="auto"/>
          </w:tcPr>
          <w:p w14:paraId="37DC1D31" w14:textId="77777777" w:rsidR="00DD74C5" w:rsidRPr="00286C20" w:rsidRDefault="000942B2" w:rsidP="00871217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DD74C5" w:rsidRPr="00286C20">
              <w:t xml:space="preserve"> Staff</w:t>
            </w:r>
          </w:p>
        </w:tc>
        <w:tc>
          <w:tcPr>
            <w:tcW w:w="1559" w:type="dxa"/>
            <w:shd w:val="clear" w:color="auto" w:fill="auto"/>
          </w:tcPr>
          <w:p w14:paraId="1258B3AD" w14:textId="77777777" w:rsidR="00DD74C5" w:rsidRPr="00286C20" w:rsidRDefault="000942B2" w:rsidP="00871217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DD74C5" w:rsidRPr="00286C20">
              <w:t xml:space="preserve"> Students</w:t>
            </w:r>
          </w:p>
        </w:tc>
        <w:tc>
          <w:tcPr>
            <w:tcW w:w="1560" w:type="dxa"/>
            <w:shd w:val="clear" w:color="auto" w:fill="auto"/>
          </w:tcPr>
          <w:p w14:paraId="6FF1A346" w14:textId="77777777" w:rsidR="00DD74C5" w:rsidRPr="00286C20" w:rsidRDefault="000942B2" w:rsidP="00871217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DD74C5" w:rsidRPr="00286C20">
              <w:t>Visitors</w:t>
            </w:r>
          </w:p>
        </w:tc>
        <w:tc>
          <w:tcPr>
            <w:tcW w:w="1904" w:type="dxa"/>
            <w:shd w:val="clear" w:color="auto" w:fill="auto"/>
          </w:tcPr>
          <w:p w14:paraId="2411B3CF" w14:textId="77777777" w:rsidR="00DD74C5" w:rsidRPr="00286C20" w:rsidRDefault="000942B2" w:rsidP="00871217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DD74C5" w:rsidRPr="00286C20">
              <w:t xml:space="preserve"> General public</w:t>
            </w:r>
          </w:p>
        </w:tc>
      </w:tr>
    </w:tbl>
    <w:p w14:paraId="6BEE6D45" w14:textId="77777777" w:rsidR="00DD74C5" w:rsidRDefault="00DD74C5" w:rsidP="00871217">
      <w:pPr>
        <w:pStyle w:val="NoSpacing"/>
      </w:pPr>
    </w:p>
    <w:p w14:paraId="34E2E089" w14:textId="77777777" w:rsidR="00B2353E" w:rsidRDefault="008E11C6" w:rsidP="00B2353E">
      <w:pPr>
        <w:pStyle w:val="NoSpacing"/>
        <w:rPr>
          <w:b/>
          <w:sz w:val="28"/>
          <w:szCs w:val="28"/>
        </w:rPr>
      </w:pPr>
      <w:r w:rsidRPr="00E02BB8">
        <w:rPr>
          <w:b/>
          <w:sz w:val="28"/>
          <w:szCs w:val="28"/>
        </w:rPr>
        <w:t>Section 3: Data and evidence</w:t>
      </w:r>
    </w:p>
    <w:p w14:paraId="7ECCB3F8" w14:textId="77777777" w:rsidR="00FA272C" w:rsidRPr="00B2353E" w:rsidRDefault="00B2353E" w:rsidP="00B2353E">
      <w:pPr>
        <w:pStyle w:val="NoSpacing"/>
        <w:rPr>
          <w:b/>
          <w:sz w:val="28"/>
          <w:szCs w:val="28"/>
        </w:rPr>
      </w:pPr>
      <w:r w:rsidRPr="00B2353E">
        <w:rPr>
          <w:i/>
        </w:rPr>
        <w:t>a)</w:t>
      </w:r>
      <w:r>
        <w:rPr>
          <w:i/>
        </w:rPr>
        <w:t xml:space="preserve"> Have you identified</w:t>
      </w:r>
      <w:r w:rsidR="00BA66EB">
        <w:rPr>
          <w:i/>
        </w:rPr>
        <w:t xml:space="preserve"> relevant </w:t>
      </w:r>
      <w:r w:rsidR="00FA272C">
        <w:rPr>
          <w:i/>
        </w:rPr>
        <w:t>evidence (qualitative and quantitative)</w:t>
      </w:r>
      <w:r w:rsidR="00BA66EB">
        <w:rPr>
          <w:i/>
        </w:rPr>
        <w:t xml:space="preserve"> to establish </w:t>
      </w:r>
      <w:r>
        <w:rPr>
          <w:i/>
        </w:rPr>
        <w:t>whether this policy,</w:t>
      </w:r>
      <w:r>
        <w:rPr>
          <w:b/>
          <w:sz w:val="28"/>
          <w:szCs w:val="28"/>
        </w:rPr>
        <w:t xml:space="preserve"> </w:t>
      </w:r>
      <w:r w:rsidR="00871217" w:rsidRPr="00B2353E">
        <w:rPr>
          <w:i/>
        </w:rPr>
        <w:t>practice or procedure could potentially affect some e</w:t>
      </w:r>
      <w:r>
        <w:rPr>
          <w:i/>
        </w:rPr>
        <w:t>quality groups more than others?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  <w:gridCol w:w="868"/>
        <w:gridCol w:w="867"/>
      </w:tblGrid>
      <w:tr w:rsidR="00ED4D58" w:rsidRPr="00286C20" w14:paraId="728B05E6" w14:textId="77777777" w:rsidTr="00286C20">
        <w:tc>
          <w:tcPr>
            <w:tcW w:w="7479" w:type="dxa"/>
            <w:shd w:val="clear" w:color="auto" w:fill="F2F2F2"/>
          </w:tcPr>
          <w:p w14:paraId="0E2126E2" w14:textId="77777777" w:rsidR="00ED4D58" w:rsidRPr="00F2602A" w:rsidRDefault="00ED4D58" w:rsidP="00871217">
            <w:pPr>
              <w:pStyle w:val="NoSpacing"/>
            </w:pPr>
            <w:r w:rsidRPr="00F2602A">
              <w:t xml:space="preserve">Have you analysed equality data for each of the groups identified in Section 2? </w:t>
            </w:r>
          </w:p>
        </w:tc>
        <w:tc>
          <w:tcPr>
            <w:tcW w:w="881" w:type="dxa"/>
            <w:shd w:val="clear" w:color="auto" w:fill="auto"/>
          </w:tcPr>
          <w:p w14:paraId="28DD7442" w14:textId="77777777" w:rsidR="00ED4D58" w:rsidRPr="00F2602A" w:rsidRDefault="00DC3EF2" w:rsidP="00871217">
            <w:pPr>
              <w:pStyle w:val="NoSpacing"/>
            </w:pPr>
            <w:r w:rsidRPr="00F2602A">
              <w:rPr>
                <w:rFonts w:ascii="MS Gothic" w:eastAsia="MS Gothic" w:hAnsi="MS Gothic" w:hint="eastAsia"/>
              </w:rPr>
              <w:t>☐</w:t>
            </w:r>
            <w:r w:rsidR="00ED4D58" w:rsidRPr="00F2602A">
              <w:t xml:space="preserve"> Yes </w:t>
            </w:r>
          </w:p>
        </w:tc>
        <w:tc>
          <w:tcPr>
            <w:tcW w:w="882" w:type="dxa"/>
            <w:shd w:val="clear" w:color="auto" w:fill="auto"/>
          </w:tcPr>
          <w:p w14:paraId="52C1DEBE" w14:textId="7C50771E" w:rsidR="00ED4D58" w:rsidRPr="00F2602A" w:rsidRDefault="00F2602A" w:rsidP="00871217">
            <w:pPr>
              <w:pStyle w:val="NoSpacing"/>
            </w:pPr>
            <w:r w:rsidRPr="00F2602A">
              <w:rPr>
                <w:rFonts w:ascii="MS Gothic" w:eastAsia="MS Gothic" w:hAnsi="MS Gothic" w:hint="eastAsia"/>
              </w:rPr>
              <w:t>☑</w:t>
            </w:r>
            <w:r w:rsidR="00ED4D58" w:rsidRPr="00F2602A">
              <w:t xml:space="preserve"> No</w:t>
            </w:r>
          </w:p>
        </w:tc>
      </w:tr>
      <w:tr w:rsidR="00FA272C" w:rsidRPr="00286C20" w14:paraId="515CC854" w14:textId="77777777" w:rsidTr="00286C20">
        <w:tc>
          <w:tcPr>
            <w:tcW w:w="7479" w:type="dxa"/>
            <w:shd w:val="clear" w:color="auto" w:fill="F2F2F2"/>
          </w:tcPr>
          <w:p w14:paraId="5A6E3174" w14:textId="77777777" w:rsidR="00FA272C" w:rsidRPr="00F2602A" w:rsidRDefault="00FA272C" w:rsidP="00871217">
            <w:pPr>
              <w:pStyle w:val="NoSpacing"/>
            </w:pPr>
            <w:r w:rsidRPr="00F2602A">
              <w:t>Have you identified/researched anecdotal or alternative evidence</w:t>
            </w:r>
            <w:r w:rsidR="00CC1C86" w:rsidRPr="00F2602A">
              <w:t>?</w:t>
            </w:r>
          </w:p>
        </w:tc>
        <w:tc>
          <w:tcPr>
            <w:tcW w:w="881" w:type="dxa"/>
            <w:shd w:val="clear" w:color="auto" w:fill="auto"/>
          </w:tcPr>
          <w:p w14:paraId="506C145E" w14:textId="77777777" w:rsidR="00FA272C" w:rsidRPr="00F2602A" w:rsidRDefault="00E145EB" w:rsidP="00871217">
            <w:pPr>
              <w:pStyle w:val="NoSpacing"/>
            </w:pPr>
            <w:r w:rsidRPr="00F2602A">
              <w:rPr>
                <w:rFonts w:ascii="MS Gothic" w:eastAsia="MS Gothic" w:hAnsi="MS Gothic" w:hint="eastAsia"/>
              </w:rPr>
              <w:t>☑</w:t>
            </w:r>
            <w:r w:rsidR="00FA272C" w:rsidRPr="00F2602A">
              <w:t xml:space="preserve"> Yes </w:t>
            </w:r>
          </w:p>
        </w:tc>
        <w:tc>
          <w:tcPr>
            <w:tcW w:w="882" w:type="dxa"/>
            <w:shd w:val="clear" w:color="auto" w:fill="auto"/>
          </w:tcPr>
          <w:p w14:paraId="5D564332" w14:textId="77777777" w:rsidR="00FA272C" w:rsidRPr="00F2602A" w:rsidRDefault="00FA272C" w:rsidP="00871217">
            <w:pPr>
              <w:pStyle w:val="NoSpacing"/>
            </w:pPr>
            <w:r w:rsidRPr="00F2602A">
              <w:rPr>
                <w:rFonts w:ascii="MS Gothic" w:eastAsia="MS Gothic" w:hAnsi="MS Gothic" w:hint="eastAsia"/>
              </w:rPr>
              <w:t>☐</w:t>
            </w:r>
            <w:r w:rsidRPr="00F2602A">
              <w:t xml:space="preserve"> No</w:t>
            </w:r>
          </w:p>
        </w:tc>
      </w:tr>
      <w:tr w:rsidR="00E02BB8" w:rsidRPr="00286C20" w14:paraId="1067D01C" w14:textId="77777777" w:rsidTr="00286C20">
        <w:tc>
          <w:tcPr>
            <w:tcW w:w="7479" w:type="dxa"/>
            <w:shd w:val="clear" w:color="auto" w:fill="F2F2F2"/>
          </w:tcPr>
          <w:p w14:paraId="6F7E1F52" w14:textId="77777777" w:rsidR="00E02BB8" w:rsidRPr="00F2602A" w:rsidRDefault="00E02BB8" w:rsidP="00871217">
            <w:pPr>
              <w:pStyle w:val="NoSpacing"/>
            </w:pPr>
            <w:r w:rsidRPr="00F2602A">
              <w:t xml:space="preserve">Have you attached </w:t>
            </w:r>
            <w:r w:rsidR="00B93E8B" w:rsidRPr="00F2602A">
              <w:t xml:space="preserve">the </w:t>
            </w:r>
            <w:r w:rsidRPr="00F2602A">
              <w:t>evidence to this impact assessment?</w:t>
            </w:r>
          </w:p>
        </w:tc>
        <w:tc>
          <w:tcPr>
            <w:tcW w:w="881" w:type="dxa"/>
            <w:shd w:val="clear" w:color="auto" w:fill="auto"/>
          </w:tcPr>
          <w:p w14:paraId="548480B4" w14:textId="77777777" w:rsidR="00E02BB8" w:rsidRPr="00F2602A" w:rsidRDefault="00DC3EF2" w:rsidP="00E00CFB">
            <w:pPr>
              <w:pStyle w:val="NoSpacing"/>
            </w:pPr>
            <w:r w:rsidRPr="00F2602A">
              <w:rPr>
                <w:rFonts w:ascii="MS Gothic" w:eastAsia="MS Gothic" w:hAnsi="MS Gothic" w:hint="eastAsia"/>
              </w:rPr>
              <w:t>☐</w:t>
            </w:r>
            <w:r w:rsidR="00E02BB8" w:rsidRPr="00F2602A">
              <w:t xml:space="preserve"> Yes </w:t>
            </w:r>
          </w:p>
        </w:tc>
        <w:tc>
          <w:tcPr>
            <w:tcW w:w="882" w:type="dxa"/>
            <w:shd w:val="clear" w:color="auto" w:fill="auto"/>
          </w:tcPr>
          <w:p w14:paraId="7A4A533A" w14:textId="573CB2F2" w:rsidR="00E02BB8" w:rsidRPr="00F2602A" w:rsidRDefault="00F2602A" w:rsidP="00E00CFB">
            <w:pPr>
              <w:pStyle w:val="NoSpacing"/>
            </w:pPr>
            <w:r w:rsidRPr="00F2602A">
              <w:rPr>
                <w:rFonts w:ascii="MS Gothic" w:eastAsia="MS Gothic" w:hAnsi="MS Gothic" w:hint="eastAsia"/>
              </w:rPr>
              <w:t>☑</w:t>
            </w:r>
            <w:r w:rsidR="00E02BB8" w:rsidRPr="00F2602A">
              <w:t xml:space="preserve"> No</w:t>
            </w:r>
          </w:p>
        </w:tc>
      </w:tr>
    </w:tbl>
    <w:p w14:paraId="79A77558" w14:textId="77777777" w:rsidR="00B2353E" w:rsidRDefault="00B2353E" w:rsidP="00B2353E">
      <w:pPr>
        <w:pStyle w:val="NoSpacing"/>
      </w:pPr>
    </w:p>
    <w:p w14:paraId="284DB37F" w14:textId="77777777" w:rsidR="00B2353E" w:rsidRPr="00B2353E" w:rsidRDefault="00B2353E" w:rsidP="00B2353E">
      <w:pPr>
        <w:pStyle w:val="NoSpacing"/>
        <w:rPr>
          <w:b/>
          <w:sz w:val="28"/>
          <w:szCs w:val="28"/>
        </w:rPr>
      </w:pPr>
      <w:r>
        <w:t xml:space="preserve">b) </w:t>
      </w:r>
      <w:r w:rsidR="0042165B">
        <w:rPr>
          <w:i/>
        </w:rPr>
        <w:t xml:space="preserve">Based on your research/evidence, </w:t>
      </w:r>
      <w:r>
        <w:rPr>
          <w:i/>
        </w:rPr>
        <w:t>which equality groups might this policy, practice or procedure affect more or less than others</w:t>
      </w:r>
      <w:r w:rsidR="0042165B">
        <w:rPr>
          <w:i/>
        </w:rPr>
        <w:t xml:space="preserve"> (if any)</w:t>
      </w:r>
      <w:r>
        <w:rPr>
          <w:i/>
        </w:rPr>
        <w:t>?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3"/>
        <w:gridCol w:w="4135"/>
        <w:gridCol w:w="487"/>
      </w:tblGrid>
      <w:tr w:rsidR="00B2353E" w:rsidRPr="00286C20" w14:paraId="24F11394" w14:textId="77777777" w:rsidTr="00286C20">
        <w:tc>
          <w:tcPr>
            <w:tcW w:w="4077" w:type="dxa"/>
            <w:shd w:val="clear" w:color="auto" w:fill="auto"/>
          </w:tcPr>
          <w:p w14:paraId="47EBD2CC" w14:textId="77777777" w:rsidR="00B2353E" w:rsidRPr="00286C20" w:rsidRDefault="00B2353E" w:rsidP="00330AB5">
            <w:pPr>
              <w:pStyle w:val="NoSpacing"/>
            </w:pPr>
            <w:r w:rsidRPr="00286C20">
              <w:t>Age</w:t>
            </w:r>
          </w:p>
        </w:tc>
        <w:tc>
          <w:tcPr>
            <w:tcW w:w="543" w:type="dxa"/>
            <w:shd w:val="clear" w:color="auto" w:fill="auto"/>
          </w:tcPr>
          <w:p w14:paraId="3D02B6C6" w14:textId="77777777" w:rsidR="00B2353E" w:rsidRPr="00286C20" w:rsidRDefault="000942B2" w:rsidP="000942B2">
            <w:pPr>
              <w:pStyle w:val="NoSpacing"/>
            </w:pPr>
            <w:r w:rsidRPr="000942B2">
              <w:rPr>
                <w:rFonts w:ascii="MS Gothic" w:eastAsia="MS Gothic" w:hAnsi="MS Gothic"/>
              </w:rPr>
              <w:t>☑</w:t>
            </w:r>
            <w:r w:rsidR="00B2353E" w:rsidRPr="00286C20">
              <w:t xml:space="preserve"> </w:t>
            </w:r>
          </w:p>
        </w:tc>
        <w:tc>
          <w:tcPr>
            <w:tcW w:w="4135" w:type="dxa"/>
            <w:shd w:val="clear" w:color="auto" w:fill="auto"/>
          </w:tcPr>
          <w:p w14:paraId="2C2A9B87" w14:textId="77777777" w:rsidR="00B2353E" w:rsidRPr="00286C20" w:rsidRDefault="00B2353E" w:rsidP="00330AB5">
            <w:pPr>
              <w:pStyle w:val="NoSpacing"/>
            </w:pPr>
            <w:r w:rsidRPr="00286C20">
              <w:t>Religion and belief (including no belief)</w:t>
            </w:r>
          </w:p>
        </w:tc>
        <w:tc>
          <w:tcPr>
            <w:tcW w:w="487" w:type="dxa"/>
            <w:shd w:val="clear" w:color="auto" w:fill="auto"/>
          </w:tcPr>
          <w:p w14:paraId="799D5C76" w14:textId="77777777" w:rsidR="00B2353E" w:rsidRPr="00286C20" w:rsidRDefault="000942B2" w:rsidP="00330AB5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B2353E" w:rsidRPr="00286C20">
              <w:t xml:space="preserve"> </w:t>
            </w:r>
          </w:p>
        </w:tc>
      </w:tr>
      <w:tr w:rsidR="00B2353E" w:rsidRPr="00286C20" w14:paraId="575DF164" w14:textId="77777777" w:rsidTr="00286C20">
        <w:tc>
          <w:tcPr>
            <w:tcW w:w="4077" w:type="dxa"/>
            <w:shd w:val="clear" w:color="auto" w:fill="auto"/>
          </w:tcPr>
          <w:p w14:paraId="4F88E038" w14:textId="77777777" w:rsidR="00B2353E" w:rsidRPr="00286C20" w:rsidRDefault="00B2353E" w:rsidP="00330AB5">
            <w:pPr>
              <w:pStyle w:val="NoSpacing"/>
            </w:pPr>
            <w:r w:rsidRPr="00286C20">
              <w:t>Disability</w:t>
            </w:r>
          </w:p>
        </w:tc>
        <w:tc>
          <w:tcPr>
            <w:tcW w:w="543" w:type="dxa"/>
            <w:shd w:val="clear" w:color="auto" w:fill="auto"/>
          </w:tcPr>
          <w:p w14:paraId="510E9ACF" w14:textId="77777777" w:rsidR="00B2353E" w:rsidRPr="00286C20" w:rsidRDefault="000942B2" w:rsidP="00330AB5">
            <w:pPr>
              <w:pStyle w:val="NoSpacing"/>
            </w:pPr>
            <w:r w:rsidRPr="000942B2">
              <w:rPr>
                <w:rFonts w:ascii="MS Gothic" w:eastAsia="MS Gothic" w:hAnsi="MS Gothic"/>
              </w:rPr>
              <w:t>☑</w:t>
            </w:r>
          </w:p>
        </w:tc>
        <w:tc>
          <w:tcPr>
            <w:tcW w:w="4135" w:type="dxa"/>
            <w:shd w:val="clear" w:color="auto" w:fill="auto"/>
          </w:tcPr>
          <w:p w14:paraId="3855E891" w14:textId="77777777" w:rsidR="00B2353E" w:rsidRPr="00286C20" w:rsidRDefault="00B2353E" w:rsidP="00330AB5">
            <w:pPr>
              <w:pStyle w:val="NoSpacing"/>
            </w:pPr>
            <w:r w:rsidRPr="00286C20">
              <w:t>Sex</w:t>
            </w:r>
          </w:p>
        </w:tc>
        <w:tc>
          <w:tcPr>
            <w:tcW w:w="487" w:type="dxa"/>
            <w:shd w:val="clear" w:color="auto" w:fill="auto"/>
          </w:tcPr>
          <w:p w14:paraId="52C7D5B2" w14:textId="77777777" w:rsidR="00B2353E" w:rsidRPr="00286C20" w:rsidRDefault="000942B2" w:rsidP="00330AB5">
            <w:pPr>
              <w:pStyle w:val="NoSpacing"/>
            </w:pPr>
            <w:r w:rsidRPr="000942B2">
              <w:rPr>
                <w:rFonts w:ascii="MS Gothic" w:eastAsia="MS Gothic" w:hAnsi="MS Gothic"/>
              </w:rPr>
              <w:t>☑</w:t>
            </w:r>
          </w:p>
        </w:tc>
      </w:tr>
      <w:tr w:rsidR="00B2353E" w:rsidRPr="00286C20" w14:paraId="24B68328" w14:textId="77777777" w:rsidTr="00286C20">
        <w:tc>
          <w:tcPr>
            <w:tcW w:w="4077" w:type="dxa"/>
            <w:shd w:val="clear" w:color="auto" w:fill="auto"/>
          </w:tcPr>
          <w:p w14:paraId="4A028077" w14:textId="77777777" w:rsidR="00B2353E" w:rsidRPr="00286C20" w:rsidRDefault="00CB08E2" w:rsidP="00330AB5">
            <w:pPr>
              <w:pStyle w:val="NoSpacing"/>
            </w:pPr>
            <w:r w:rsidRPr="00CB08E2">
              <w:t>Carers</w:t>
            </w:r>
          </w:p>
        </w:tc>
        <w:tc>
          <w:tcPr>
            <w:tcW w:w="543" w:type="dxa"/>
            <w:shd w:val="clear" w:color="auto" w:fill="auto"/>
          </w:tcPr>
          <w:p w14:paraId="5D0727BA" w14:textId="77777777" w:rsidR="00B2353E" w:rsidRPr="00286C20" w:rsidRDefault="000942B2" w:rsidP="00330AB5">
            <w:pPr>
              <w:pStyle w:val="NoSpacing"/>
            </w:pPr>
            <w:r w:rsidRPr="000942B2">
              <w:rPr>
                <w:rFonts w:ascii="MS Gothic" w:eastAsia="MS Gothic" w:hAnsi="MS Gothic"/>
              </w:rPr>
              <w:t>☑</w:t>
            </w:r>
          </w:p>
        </w:tc>
        <w:tc>
          <w:tcPr>
            <w:tcW w:w="4135" w:type="dxa"/>
            <w:shd w:val="clear" w:color="auto" w:fill="auto"/>
          </w:tcPr>
          <w:p w14:paraId="768BE3E2" w14:textId="77777777" w:rsidR="00B2353E" w:rsidRPr="00286C20" w:rsidRDefault="00B2353E" w:rsidP="00330AB5">
            <w:pPr>
              <w:pStyle w:val="NoSpacing"/>
            </w:pPr>
            <w:r w:rsidRPr="00286C20">
              <w:t>Sexual orientation</w:t>
            </w:r>
          </w:p>
        </w:tc>
        <w:tc>
          <w:tcPr>
            <w:tcW w:w="487" w:type="dxa"/>
            <w:shd w:val="clear" w:color="auto" w:fill="auto"/>
          </w:tcPr>
          <w:p w14:paraId="6FB242B8" w14:textId="394B99E8" w:rsidR="00B2353E" w:rsidRPr="00286C20" w:rsidRDefault="00D74787" w:rsidP="00330AB5">
            <w:pPr>
              <w:pStyle w:val="NoSpacing"/>
            </w:pPr>
            <w:r w:rsidRPr="000942B2">
              <w:rPr>
                <w:rFonts w:ascii="MS Gothic" w:eastAsia="MS Gothic" w:hAnsi="MS Gothic"/>
              </w:rPr>
              <w:t>☑</w:t>
            </w:r>
          </w:p>
        </w:tc>
      </w:tr>
      <w:tr w:rsidR="00B2353E" w:rsidRPr="00286C20" w14:paraId="05FFB0D6" w14:textId="77777777" w:rsidTr="00286C20">
        <w:tc>
          <w:tcPr>
            <w:tcW w:w="4077" w:type="dxa"/>
            <w:shd w:val="clear" w:color="auto" w:fill="auto"/>
          </w:tcPr>
          <w:p w14:paraId="08D2682E" w14:textId="77777777" w:rsidR="00B2353E" w:rsidRPr="00286C20" w:rsidRDefault="00B2353E" w:rsidP="00330AB5">
            <w:pPr>
              <w:pStyle w:val="NoSpacing"/>
            </w:pPr>
            <w:r w:rsidRPr="00286C20">
              <w:t>Marriage and civil partnership</w:t>
            </w:r>
          </w:p>
        </w:tc>
        <w:tc>
          <w:tcPr>
            <w:tcW w:w="543" w:type="dxa"/>
            <w:shd w:val="clear" w:color="auto" w:fill="auto"/>
          </w:tcPr>
          <w:p w14:paraId="0AF36D9A" w14:textId="7ADDD4B1" w:rsidR="00B2353E" w:rsidRPr="00286C20" w:rsidRDefault="001B2A66" w:rsidP="00330AB5">
            <w:pPr>
              <w:pStyle w:val="NoSpacing"/>
            </w:pPr>
            <w:r w:rsidRPr="000942B2">
              <w:rPr>
                <w:rFonts w:ascii="MS Gothic" w:eastAsia="MS Gothic" w:hAnsi="MS Gothic"/>
              </w:rPr>
              <w:t>☑</w:t>
            </w:r>
          </w:p>
        </w:tc>
        <w:tc>
          <w:tcPr>
            <w:tcW w:w="4135" w:type="dxa"/>
            <w:shd w:val="clear" w:color="auto" w:fill="auto"/>
          </w:tcPr>
          <w:p w14:paraId="37C06BF6" w14:textId="77777777" w:rsidR="00B2353E" w:rsidRPr="00286C20" w:rsidRDefault="000942B2" w:rsidP="00330AB5">
            <w:pPr>
              <w:pStyle w:val="NoSpacing"/>
            </w:pPr>
            <w:r>
              <w:t>Trans</w:t>
            </w:r>
          </w:p>
        </w:tc>
        <w:tc>
          <w:tcPr>
            <w:tcW w:w="487" w:type="dxa"/>
            <w:shd w:val="clear" w:color="auto" w:fill="auto"/>
          </w:tcPr>
          <w:p w14:paraId="6BFA8CFD" w14:textId="77777777" w:rsidR="00B2353E" w:rsidRPr="00286C20" w:rsidRDefault="000942B2" w:rsidP="00330AB5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</w:p>
        </w:tc>
      </w:tr>
      <w:tr w:rsidR="00B2353E" w:rsidRPr="00286C20" w14:paraId="7A8B27A9" w14:textId="77777777" w:rsidTr="00286C20">
        <w:tc>
          <w:tcPr>
            <w:tcW w:w="4077" w:type="dxa"/>
            <w:shd w:val="clear" w:color="auto" w:fill="auto"/>
          </w:tcPr>
          <w:p w14:paraId="3D2FBD03" w14:textId="77777777" w:rsidR="00B2353E" w:rsidRPr="00286C20" w:rsidRDefault="003F10EB" w:rsidP="00330AB5">
            <w:pPr>
              <w:pStyle w:val="NoSpacing"/>
            </w:pPr>
            <w:r>
              <w:t>M</w:t>
            </w:r>
            <w:r w:rsidR="00B2353E" w:rsidRPr="00286C20">
              <w:t>aternity</w:t>
            </w:r>
            <w:r>
              <w:t xml:space="preserve"> Pregnancy and Adoption</w:t>
            </w:r>
          </w:p>
        </w:tc>
        <w:tc>
          <w:tcPr>
            <w:tcW w:w="543" w:type="dxa"/>
            <w:shd w:val="clear" w:color="auto" w:fill="auto"/>
          </w:tcPr>
          <w:p w14:paraId="6B72E990" w14:textId="77777777" w:rsidR="00B2353E" w:rsidRPr="00286C20" w:rsidRDefault="000942B2" w:rsidP="00330AB5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</w:p>
        </w:tc>
        <w:tc>
          <w:tcPr>
            <w:tcW w:w="4135" w:type="dxa"/>
            <w:shd w:val="clear" w:color="auto" w:fill="auto"/>
          </w:tcPr>
          <w:p w14:paraId="32773279" w14:textId="77777777" w:rsidR="00B2353E" w:rsidRPr="00286C20" w:rsidRDefault="00654DC5" w:rsidP="00654DC5">
            <w:pPr>
              <w:pStyle w:val="NoSpacing"/>
              <w:rPr>
                <w:i/>
              </w:rPr>
            </w:pPr>
            <w:r w:rsidRPr="00286C20">
              <w:rPr>
                <w:i/>
              </w:rPr>
              <w:t xml:space="preserve">Mode of attendance – part-time/full-time </w:t>
            </w:r>
          </w:p>
        </w:tc>
        <w:tc>
          <w:tcPr>
            <w:tcW w:w="487" w:type="dxa"/>
            <w:shd w:val="clear" w:color="auto" w:fill="auto"/>
          </w:tcPr>
          <w:p w14:paraId="21D81ADC" w14:textId="77777777" w:rsidR="00B2353E" w:rsidRPr="00286C20" w:rsidRDefault="00B2353E" w:rsidP="00330AB5">
            <w:pPr>
              <w:pStyle w:val="NoSpacing"/>
            </w:pPr>
            <w:r w:rsidRPr="00286C20">
              <w:rPr>
                <w:rFonts w:ascii="MS Gothic" w:eastAsia="MS Gothic" w:hAnsi="MS Gothic" w:hint="eastAsia"/>
              </w:rPr>
              <w:t>☐</w:t>
            </w:r>
          </w:p>
        </w:tc>
      </w:tr>
      <w:tr w:rsidR="00B2353E" w:rsidRPr="00286C20" w14:paraId="1D1732D2" w14:textId="77777777" w:rsidTr="00286C20">
        <w:tc>
          <w:tcPr>
            <w:tcW w:w="4077" w:type="dxa"/>
            <w:shd w:val="clear" w:color="auto" w:fill="auto"/>
          </w:tcPr>
          <w:p w14:paraId="477D7202" w14:textId="77777777" w:rsidR="00B2353E" w:rsidRPr="00286C20" w:rsidRDefault="00B2353E" w:rsidP="00330AB5">
            <w:pPr>
              <w:pStyle w:val="NoSpacing"/>
            </w:pPr>
            <w:r w:rsidRPr="00286C20">
              <w:t>Race</w:t>
            </w:r>
          </w:p>
        </w:tc>
        <w:tc>
          <w:tcPr>
            <w:tcW w:w="543" w:type="dxa"/>
            <w:shd w:val="clear" w:color="auto" w:fill="auto"/>
          </w:tcPr>
          <w:p w14:paraId="328B9B0F" w14:textId="77777777" w:rsidR="00B2353E" w:rsidRPr="00286C20" w:rsidRDefault="000942B2" w:rsidP="00330AB5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</w:p>
        </w:tc>
        <w:tc>
          <w:tcPr>
            <w:tcW w:w="4135" w:type="dxa"/>
            <w:shd w:val="clear" w:color="auto" w:fill="auto"/>
          </w:tcPr>
          <w:p w14:paraId="30C84A3E" w14:textId="77777777" w:rsidR="00B2353E" w:rsidRPr="00286C20" w:rsidRDefault="00654DC5" w:rsidP="00330AB5">
            <w:pPr>
              <w:pStyle w:val="NoSpacing"/>
              <w:rPr>
                <w:i/>
              </w:rPr>
            </w:pPr>
            <w:r w:rsidRPr="00286C20">
              <w:rPr>
                <w:i/>
              </w:rPr>
              <w:t>Socio-economic group (students only)</w:t>
            </w:r>
          </w:p>
        </w:tc>
        <w:tc>
          <w:tcPr>
            <w:tcW w:w="487" w:type="dxa"/>
            <w:shd w:val="clear" w:color="auto" w:fill="auto"/>
          </w:tcPr>
          <w:p w14:paraId="0ED5046B" w14:textId="77777777" w:rsidR="00B2353E" w:rsidRPr="00286C20" w:rsidRDefault="000942B2" w:rsidP="00330AB5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</w:p>
        </w:tc>
      </w:tr>
    </w:tbl>
    <w:p w14:paraId="1E0573BD" w14:textId="77777777" w:rsidR="00B2353E" w:rsidRDefault="00B2353E" w:rsidP="00871217">
      <w:pPr>
        <w:pStyle w:val="NoSpacing"/>
      </w:pPr>
    </w:p>
    <w:p w14:paraId="5235DE25" w14:textId="77777777" w:rsidR="00B2353E" w:rsidRDefault="00B2353E" w:rsidP="00B2353E">
      <w:pPr>
        <w:pStyle w:val="NoSpacing"/>
        <w:rPr>
          <w:i/>
        </w:rPr>
      </w:pPr>
      <w:r>
        <w:rPr>
          <w:i/>
        </w:rPr>
        <w:t xml:space="preserve">c) Using examples from the evidence you have collected, please </w:t>
      </w:r>
      <w:r w:rsidR="0042165B">
        <w:rPr>
          <w:i/>
        </w:rPr>
        <w:t>describe the impact on the equality groups you have identified in part b).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353E" w:rsidRPr="00286C20" w14:paraId="4713387D" w14:textId="77777777" w:rsidTr="00286C20">
        <w:tc>
          <w:tcPr>
            <w:tcW w:w="9242" w:type="dxa"/>
            <w:shd w:val="clear" w:color="auto" w:fill="auto"/>
          </w:tcPr>
          <w:p w14:paraId="77980C07" w14:textId="245C3AB1" w:rsidR="000942B2" w:rsidRPr="00B14E6F" w:rsidRDefault="00B13A68" w:rsidP="00A400E6">
            <w:pPr>
              <w:numPr>
                <w:ilvl w:val="0"/>
                <w:numId w:val="8"/>
              </w:num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14E6F">
              <w:rPr>
                <w:rFonts w:asciiTheme="minorHAnsi" w:hAnsiTheme="minorHAnsi" w:cstheme="minorHAnsi"/>
              </w:rPr>
              <w:t xml:space="preserve">The </w:t>
            </w:r>
            <w:r w:rsidR="000942B2" w:rsidRPr="00B14E6F">
              <w:rPr>
                <w:rFonts w:asciiTheme="minorHAnsi" w:hAnsiTheme="minorHAnsi" w:cstheme="minorHAnsi"/>
              </w:rPr>
              <w:t>Equality &amp; Diversity representatives</w:t>
            </w:r>
            <w:r w:rsidRPr="00B14E6F">
              <w:rPr>
                <w:rFonts w:asciiTheme="minorHAnsi" w:hAnsiTheme="minorHAnsi" w:cstheme="minorHAnsi"/>
              </w:rPr>
              <w:t xml:space="preserve"> are included in the</w:t>
            </w:r>
            <w:r w:rsidR="000942B2" w:rsidRPr="00B14E6F">
              <w:rPr>
                <w:rFonts w:asciiTheme="minorHAnsi" w:hAnsiTheme="minorHAnsi" w:cstheme="minorHAnsi"/>
              </w:rPr>
              <w:t xml:space="preserve"> </w:t>
            </w:r>
            <w:r w:rsidR="00F2602A" w:rsidRPr="00B14E6F">
              <w:rPr>
                <w:rFonts w:asciiTheme="minorHAnsi" w:hAnsiTheme="minorHAnsi" w:cstheme="minorHAnsi"/>
              </w:rPr>
              <w:t>Graduation Service Delivery Group</w:t>
            </w:r>
            <w:r w:rsidR="000942B2" w:rsidRPr="00B14E6F">
              <w:rPr>
                <w:rFonts w:asciiTheme="minorHAnsi" w:hAnsiTheme="minorHAnsi" w:cstheme="minorHAnsi"/>
              </w:rPr>
              <w:t xml:space="preserve"> </w:t>
            </w:r>
            <w:r w:rsidRPr="00B14E6F">
              <w:rPr>
                <w:rFonts w:asciiTheme="minorHAnsi" w:hAnsiTheme="minorHAnsi" w:cstheme="minorHAnsi"/>
              </w:rPr>
              <w:t xml:space="preserve">to consider the planning and delivery of </w:t>
            </w:r>
            <w:r w:rsidR="003D5A87">
              <w:rPr>
                <w:rFonts w:asciiTheme="minorHAnsi" w:hAnsiTheme="minorHAnsi" w:cstheme="minorHAnsi"/>
              </w:rPr>
              <w:t>g</w:t>
            </w:r>
            <w:r w:rsidRPr="00B14E6F">
              <w:rPr>
                <w:rFonts w:asciiTheme="minorHAnsi" w:hAnsiTheme="minorHAnsi" w:cstheme="minorHAnsi"/>
              </w:rPr>
              <w:t xml:space="preserve">raduation throughout the </w:t>
            </w:r>
            <w:r w:rsidR="00E4249B">
              <w:rPr>
                <w:rFonts w:asciiTheme="minorHAnsi" w:hAnsiTheme="minorHAnsi" w:cstheme="minorHAnsi"/>
              </w:rPr>
              <w:t>u</w:t>
            </w:r>
            <w:r w:rsidR="00CD4A51" w:rsidRPr="00B14E6F">
              <w:rPr>
                <w:rFonts w:asciiTheme="minorHAnsi" w:hAnsiTheme="minorHAnsi" w:cstheme="minorHAnsi"/>
              </w:rPr>
              <w:t>niversity</w:t>
            </w:r>
            <w:r w:rsidRPr="00B14E6F">
              <w:rPr>
                <w:rFonts w:asciiTheme="minorHAnsi" w:hAnsiTheme="minorHAnsi" w:cstheme="minorHAnsi"/>
              </w:rPr>
              <w:t>.</w:t>
            </w:r>
          </w:p>
          <w:p w14:paraId="1F12598A" w14:textId="1E413D9B" w:rsidR="000942B2" w:rsidRDefault="000942B2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14E6F">
              <w:rPr>
                <w:rFonts w:asciiTheme="minorHAnsi" w:hAnsiTheme="minorHAnsi" w:cstheme="minorHAnsi"/>
              </w:rPr>
              <w:t>EAP also liaise with the Equality &amp; Diversity team on individual, sensitive and confidential matters when they arise.</w:t>
            </w:r>
          </w:p>
          <w:p w14:paraId="47E53175" w14:textId="151E4DC3" w:rsidR="00D74787" w:rsidRPr="00B14E6F" w:rsidRDefault="00D74787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Leeds Beckett Support Workers remind the students they support of the support available and key dates to note.</w:t>
            </w:r>
          </w:p>
          <w:p w14:paraId="1E01B350" w14:textId="7E6AA7E3" w:rsidR="003E6EB8" w:rsidRPr="00B14E6F" w:rsidRDefault="000942B2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14E6F">
              <w:rPr>
                <w:rFonts w:asciiTheme="minorHAnsi" w:hAnsiTheme="minorHAnsi" w:cstheme="minorHAnsi"/>
              </w:rPr>
              <w:t>Students are asked at the time of booking their place whether they or their guests have any special require</w:t>
            </w:r>
            <w:r w:rsidR="00B14E6F" w:rsidRPr="00B14E6F">
              <w:rPr>
                <w:rFonts w:asciiTheme="minorHAnsi" w:hAnsiTheme="minorHAnsi" w:cstheme="minorHAnsi"/>
              </w:rPr>
              <w:t>ments in terms of disabilities:</w:t>
            </w:r>
          </w:p>
          <w:p w14:paraId="57A3A466" w14:textId="515A3381" w:rsidR="00A679FE" w:rsidRPr="00D74787" w:rsidRDefault="00A679FE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D74787">
              <w:rPr>
                <w:rFonts w:asciiTheme="minorHAnsi" w:hAnsiTheme="minorHAnsi" w:cstheme="minorHAnsi"/>
              </w:rPr>
              <w:t xml:space="preserve">The website </w:t>
            </w:r>
            <w:r w:rsidR="00B14E6F" w:rsidRPr="00D74787">
              <w:rPr>
                <w:rFonts w:asciiTheme="minorHAnsi" w:hAnsiTheme="minorHAnsi" w:cstheme="minorHAnsi"/>
              </w:rPr>
              <w:t>links</w:t>
            </w:r>
            <w:r w:rsidRPr="00D74787">
              <w:rPr>
                <w:rFonts w:asciiTheme="minorHAnsi" w:hAnsiTheme="minorHAnsi" w:cstheme="minorHAnsi"/>
              </w:rPr>
              <w:t xml:space="preserve"> to </w:t>
            </w:r>
            <w:r w:rsidR="001B2A66">
              <w:rPr>
                <w:rFonts w:asciiTheme="minorHAnsi" w:hAnsiTheme="minorHAnsi" w:cstheme="minorHAnsi"/>
              </w:rPr>
              <w:t>Access Able</w:t>
            </w:r>
            <w:r w:rsidRPr="00D74787">
              <w:rPr>
                <w:rFonts w:asciiTheme="minorHAnsi" w:hAnsiTheme="minorHAnsi" w:cstheme="minorHAnsi"/>
              </w:rPr>
              <w:t xml:space="preserve">, providing further information about the </w:t>
            </w:r>
            <w:r w:rsidR="003D5A87" w:rsidRPr="00D74787">
              <w:rPr>
                <w:rFonts w:asciiTheme="minorHAnsi" w:hAnsiTheme="minorHAnsi" w:cstheme="minorHAnsi"/>
              </w:rPr>
              <w:t>g</w:t>
            </w:r>
            <w:r w:rsidRPr="00D74787">
              <w:rPr>
                <w:rFonts w:asciiTheme="minorHAnsi" w:hAnsiTheme="minorHAnsi" w:cstheme="minorHAnsi"/>
              </w:rPr>
              <w:t>raduation route</w:t>
            </w:r>
          </w:p>
          <w:p w14:paraId="56835066" w14:textId="2B7C00C6" w:rsidR="00E90045" w:rsidRPr="00B14E6F" w:rsidRDefault="00E90045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14E6F">
              <w:rPr>
                <w:rFonts w:asciiTheme="minorHAnsi" w:hAnsiTheme="minorHAnsi" w:cstheme="minorHAnsi"/>
              </w:rPr>
              <w:t>Students and guests can request information be c</w:t>
            </w:r>
            <w:r w:rsidRPr="00B14E6F">
              <w:rPr>
                <w:rFonts w:asciiTheme="minorHAnsi" w:hAnsiTheme="minorHAnsi" w:cstheme="minorHAnsi"/>
                <w:color w:val="000000"/>
              </w:rPr>
              <w:t xml:space="preserve">onverted into a range of alternate media via </w:t>
            </w:r>
            <w:proofErr w:type="spellStart"/>
            <w:r w:rsidRPr="00B14E6F">
              <w:rPr>
                <w:rFonts w:asciiTheme="minorHAnsi" w:hAnsiTheme="minorHAnsi" w:cstheme="minorHAnsi"/>
                <w:color w:val="000000"/>
              </w:rPr>
              <w:t>SensusAccess</w:t>
            </w:r>
            <w:proofErr w:type="spellEnd"/>
          </w:p>
          <w:p w14:paraId="4248D609" w14:textId="4B67C36A" w:rsidR="003E6EB8" w:rsidRPr="00485B8F" w:rsidRDefault="00E90045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485B8F">
              <w:rPr>
                <w:rFonts w:asciiTheme="minorHAnsi" w:hAnsiTheme="minorHAnsi" w:cstheme="minorHAnsi"/>
              </w:rPr>
              <w:t>W</w:t>
            </w:r>
            <w:r w:rsidR="000942B2" w:rsidRPr="00485B8F">
              <w:rPr>
                <w:rFonts w:asciiTheme="minorHAnsi" w:hAnsiTheme="minorHAnsi" w:cstheme="minorHAnsi"/>
              </w:rPr>
              <w:t xml:space="preserve">e </w:t>
            </w:r>
            <w:r w:rsidR="001B2A66" w:rsidRPr="00485B8F">
              <w:rPr>
                <w:rFonts w:asciiTheme="minorHAnsi" w:hAnsiTheme="minorHAnsi" w:cstheme="minorHAnsi"/>
              </w:rPr>
              <w:t>promote</w:t>
            </w:r>
            <w:r w:rsidR="00D904D3" w:rsidRPr="00485B8F">
              <w:rPr>
                <w:rFonts w:asciiTheme="minorHAnsi" w:hAnsiTheme="minorHAnsi" w:cstheme="minorHAnsi"/>
              </w:rPr>
              <w:t xml:space="preserve"> disabled</w:t>
            </w:r>
            <w:r w:rsidR="000942B2" w:rsidRPr="00485B8F">
              <w:rPr>
                <w:rFonts w:asciiTheme="minorHAnsi" w:hAnsiTheme="minorHAnsi" w:cstheme="minorHAnsi"/>
              </w:rPr>
              <w:t xml:space="preserve"> parking </w:t>
            </w:r>
            <w:r w:rsidR="00D904D3" w:rsidRPr="00485B8F">
              <w:rPr>
                <w:rFonts w:asciiTheme="minorHAnsi" w:hAnsiTheme="minorHAnsi" w:cstheme="minorHAnsi"/>
              </w:rPr>
              <w:t xml:space="preserve">spaces </w:t>
            </w:r>
            <w:r w:rsidR="001B2A66" w:rsidRPr="00485B8F">
              <w:rPr>
                <w:rFonts w:asciiTheme="minorHAnsi" w:hAnsiTheme="minorHAnsi" w:cstheme="minorHAnsi"/>
              </w:rPr>
              <w:t xml:space="preserve">provided around the </w:t>
            </w:r>
            <w:proofErr w:type="spellStart"/>
            <w:r w:rsidR="001B2A66" w:rsidRPr="00485B8F">
              <w:rPr>
                <w:rFonts w:asciiTheme="minorHAnsi" w:hAnsiTheme="minorHAnsi" w:cstheme="minorHAnsi"/>
              </w:rPr>
              <w:t>fd</w:t>
            </w:r>
            <w:proofErr w:type="spellEnd"/>
            <w:r w:rsidR="001B2A66" w:rsidRPr="00485B8F">
              <w:rPr>
                <w:rFonts w:asciiTheme="minorHAnsi" w:hAnsiTheme="minorHAnsi" w:cstheme="minorHAnsi"/>
              </w:rPr>
              <w:t xml:space="preserve"> arena, which has a capacity for 13,000 attendees. I</w:t>
            </w:r>
            <w:r w:rsidR="001B592B" w:rsidRPr="00485B8F">
              <w:rPr>
                <w:rFonts w:asciiTheme="minorHAnsi" w:hAnsiTheme="minorHAnsi" w:cstheme="minorHAnsi"/>
              </w:rPr>
              <w:t xml:space="preserve">f </w:t>
            </w:r>
            <w:r w:rsidR="000942B2" w:rsidRPr="00485B8F">
              <w:rPr>
                <w:rFonts w:asciiTheme="minorHAnsi" w:hAnsiTheme="minorHAnsi" w:cstheme="minorHAnsi"/>
              </w:rPr>
              <w:t>students</w:t>
            </w:r>
            <w:r w:rsidR="00E4249B" w:rsidRPr="00485B8F">
              <w:rPr>
                <w:rFonts w:asciiTheme="minorHAnsi" w:hAnsiTheme="minorHAnsi" w:cstheme="minorHAnsi"/>
              </w:rPr>
              <w:t xml:space="preserve"> and their guests</w:t>
            </w:r>
            <w:r w:rsidR="001B2A66" w:rsidRPr="00485B8F">
              <w:rPr>
                <w:rFonts w:asciiTheme="minorHAnsi" w:hAnsiTheme="minorHAnsi" w:cstheme="minorHAnsi"/>
              </w:rPr>
              <w:t xml:space="preserve"> have a specific need for accessible parking, it can be arranged at the Rose Bowl </w:t>
            </w:r>
          </w:p>
          <w:p w14:paraId="0455E3BB" w14:textId="7ED41193" w:rsidR="003E6EB8" w:rsidRPr="00485B8F" w:rsidRDefault="00E90045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336AFA">
              <w:rPr>
                <w:rFonts w:asciiTheme="minorHAnsi" w:hAnsiTheme="minorHAnsi" w:cstheme="minorHAnsi"/>
              </w:rPr>
              <w:t>E</w:t>
            </w:r>
            <w:r w:rsidR="000942B2" w:rsidRPr="00336AFA">
              <w:rPr>
                <w:rFonts w:asciiTheme="minorHAnsi" w:hAnsiTheme="minorHAnsi" w:cstheme="minorHAnsi"/>
              </w:rPr>
              <w:t>nd of aisle seating and</w:t>
            </w:r>
            <w:r w:rsidR="00336AFA">
              <w:rPr>
                <w:rFonts w:asciiTheme="minorHAnsi" w:hAnsiTheme="minorHAnsi" w:cstheme="minorHAnsi"/>
              </w:rPr>
              <w:t xml:space="preserve"> dedicated</w:t>
            </w:r>
            <w:r w:rsidR="000942B2" w:rsidRPr="00336AFA">
              <w:rPr>
                <w:rFonts w:asciiTheme="minorHAnsi" w:hAnsiTheme="minorHAnsi" w:cstheme="minorHAnsi"/>
              </w:rPr>
              <w:t xml:space="preserve"> spaces for wheelchair</w:t>
            </w:r>
            <w:r w:rsidR="00D74787" w:rsidRPr="00336AFA">
              <w:rPr>
                <w:rFonts w:asciiTheme="minorHAnsi" w:hAnsiTheme="minorHAnsi" w:cstheme="minorHAnsi"/>
              </w:rPr>
              <w:t xml:space="preserve"> user</w:t>
            </w:r>
            <w:r w:rsidR="000942B2" w:rsidRPr="00336AFA">
              <w:rPr>
                <w:rFonts w:asciiTheme="minorHAnsi" w:hAnsiTheme="minorHAnsi" w:cstheme="minorHAnsi"/>
              </w:rPr>
              <w:t xml:space="preserve">s are reserved in the </w:t>
            </w:r>
            <w:r w:rsidR="001B2A66" w:rsidRPr="00336AFA">
              <w:rPr>
                <w:rFonts w:asciiTheme="minorHAnsi" w:hAnsiTheme="minorHAnsi" w:cstheme="minorHAnsi"/>
              </w:rPr>
              <w:t>a</w:t>
            </w:r>
            <w:r w:rsidR="00E4249B" w:rsidRPr="00336AFA">
              <w:rPr>
                <w:rFonts w:asciiTheme="minorHAnsi" w:hAnsiTheme="minorHAnsi" w:cstheme="minorHAnsi"/>
              </w:rPr>
              <w:t>uditorium</w:t>
            </w:r>
            <w:r w:rsidR="000942B2" w:rsidRPr="00336AFA">
              <w:rPr>
                <w:rFonts w:asciiTheme="minorHAnsi" w:hAnsiTheme="minorHAnsi" w:cstheme="minorHAnsi"/>
              </w:rPr>
              <w:t xml:space="preserve"> </w:t>
            </w:r>
            <w:r w:rsidR="000942B2" w:rsidRPr="00485B8F">
              <w:rPr>
                <w:rFonts w:asciiTheme="minorHAnsi" w:hAnsiTheme="minorHAnsi" w:cstheme="minorHAnsi"/>
              </w:rPr>
              <w:t>so that families/guests can sit together</w:t>
            </w:r>
          </w:p>
          <w:p w14:paraId="44644A29" w14:textId="77777777" w:rsidR="00824B6D" w:rsidRPr="00485B8F" w:rsidRDefault="00E90045" w:rsidP="00824B6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485B8F">
              <w:rPr>
                <w:rFonts w:asciiTheme="minorHAnsi" w:hAnsiTheme="minorHAnsi" w:cstheme="minorHAnsi"/>
              </w:rPr>
              <w:t>T</w:t>
            </w:r>
            <w:r w:rsidR="000942B2" w:rsidRPr="00485B8F">
              <w:rPr>
                <w:rFonts w:asciiTheme="minorHAnsi" w:hAnsiTheme="minorHAnsi" w:cstheme="minorHAnsi"/>
              </w:rPr>
              <w:t xml:space="preserve">here is a hearing loop available </w:t>
            </w:r>
            <w:r w:rsidR="00E4249B" w:rsidRPr="00485B8F">
              <w:rPr>
                <w:rFonts w:asciiTheme="minorHAnsi" w:hAnsiTheme="minorHAnsi" w:cstheme="minorHAnsi"/>
              </w:rPr>
              <w:t xml:space="preserve">in the </w:t>
            </w:r>
            <w:r w:rsidR="001B2A66" w:rsidRPr="00485B8F">
              <w:rPr>
                <w:rFonts w:asciiTheme="minorHAnsi" w:hAnsiTheme="minorHAnsi" w:cstheme="minorHAnsi"/>
              </w:rPr>
              <w:t>a</w:t>
            </w:r>
            <w:r w:rsidR="00E4249B" w:rsidRPr="00485B8F">
              <w:rPr>
                <w:rFonts w:asciiTheme="minorHAnsi" w:hAnsiTheme="minorHAnsi" w:cstheme="minorHAnsi"/>
              </w:rPr>
              <w:t>uditorium</w:t>
            </w:r>
            <w:r w:rsidR="001B2A66" w:rsidRPr="00485B8F">
              <w:rPr>
                <w:rFonts w:asciiTheme="minorHAnsi" w:hAnsiTheme="minorHAnsi" w:cstheme="minorHAnsi"/>
              </w:rPr>
              <w:t>. Guests and graduates need to collect a device at the welcome desk to enable the hearing loop in the auditorium</w:t>
            </w:r>
            <w:r w:rsidR="00824B6D">
              <w:rPr>
                <w:rFonts w:asciiTheme="minorHAnsi" w:hAnsiTheme="minorHAnsi" w:cstheme="minorHAnsi"/>
              </w:rPr>
              <w:t xml:space="preserve">. First direct arena </w:t>
            </w:r>
            <w:proofErr w:type="gramStart"/>
            <w:r w:rsidR="00824B6D">
              <w:rPr>
                <w:rFonts w:asciiTheme="minorHAnsi" w:hAnsiTheme="minorHAnsi" w:cstheme="minorHAnsi"/>
              </w:rPr>
              <w:t>check</w:t>
            </w:r>
            <w:proofErr w:type="gramEnd"/>
            <w:r w:rsidR="00824B6D">
              <w:rPr>
                <w:rFonts w:asciiTheme="minorHAnsi" w:hAnsiTheme="minorHAnsi" w:cstheme="minorHAnsi"/>
              </w:rPr>
              <w:t xml:space="preserve"> this regularly.</w:t>
            </w:r>
          </w:p>
          <w:p w14:paraId="6E0E23D2" w14:textId="68D166DE" w:rsidR="003E6EB8" w:rsidRPr="00485B8F" w:rsidRDefault="003E6EB8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2F81138B" w14:textId="371767DF" w:rsidR="003E6EB8" w:rsidRPr="00B14E6F" w:rsidRDefault="00E90045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14E6F">
              <w:rPr>
                <w:rFonts w:asciiTheme="minorHAnsi" w:hAnsiTheme="minorHAnsi" w:cstheme="minorHAnsi"/>
              </w:rPr>
              <w:t>A</w:t>
            </w:r>
            <w:r w:rsidR="00CD4A51" w:rsidRPr="00B14E6F">
              <w:rPr>
                <w:rFonts w:asciiTheme="minorHAnsi" w:hAnsiTheme="minorHAnsi" w:cstheme="minorHAnsi"/>
              </w:rPr>
              <w:t>ccessible toilets are available</w:t>
            </w:r>
            <w:r w:rsidR="000942B2" w:rsidRPr="00B14E6F">
              <w:rPr>
                <w:rFonts w:asciiTheme="minorHAnsi" w:hAnsiTheme="minorHAnsi" w:cstheme="minorHAnsi"/>
              </w:rPr>
              <w:t xml:space="preserve">  </w:t>
            </w:r>
          </w:p>
          <w:p w14:paraId="14B15F1A" w14:textId="4CAED97B" w:rsidR="00CD4A51" w:rsidRPr="001B2A66" w:rsidRDefault="00CD4A51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A679FE">
              <w:rPr>
                <w:rFonts w:asciiTheme="minorHAnsi" w:hAnsiTheme="minorHAnsi" w:cstheme="minorHAnsi"/>
              </w:rPr>
              <w:t>A mechanical lift will be provided at either side of the</w:t>
            </w:r>
            <w:r w:rsidR="000942B2" w:rsidRPr="00A679FE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942B2" w:rsidRPr="00A679FE">
              <w:rPr>
                <w:rFonts w:asciiTheme="minorHAnsi" w:hAnsiTheme="minorHAnsi" w:cstheme="minorHAnsi"/>
              </w:rPr>
              <w:t>stage</w:t>
            </w:r>
            <w:proofErr w:type="gramEnd"/>
            <w:r w:rsidR="000942B2" w:rsidRPr="00A679FE">
              <w:rPr>
                <w:rFonts w:asciiTheme="minorHAnsi" w:hAnsiTheme="minorHAnsi" w:cstheme="minorHAnsi"/>
              </w:rPr>
              <w:t xml:space="preserve"> so students can progress across the stage and leave the stage via the lifts. </w:t>
            </w:r>
            <w:r w:rsidR="000942B2" w:rsidRPr="001B2A66">
              <w:rPr>
                <w:rFonts w:asciiTheme="minorHAnsi" w:hAnsiTheme="minorHAnsi" w:cstheme="minorHAnsi"/>
              </w:rPr>
              <w:t xml:space="preserve">This </w:t>
            </w:r>
            <w:r w:rsidR="001B2A66" w:rsidRPr="001B2A66">
              <w:rPr>
                <w:rFonts w:asciiTheme="minorHAnsi" w:hAnsiTheme="minorHAnsi" w:cstheme="minorHAnsi"/>
              </w:rPr>
              <w:t>will be</w:t>
            </w:r>
            <w:r w:rsidR="000942B2" w:rsidRPr="001B2A66">
              <w:rPr>
                <w:rFonts w:asciiTheme="minorHAnsi" w:hAnsiTheme="minorHAnsi" w:cstheme="minorHAnsi"/>
              </w:rPr>
              <w:t xml:space="preserve"> operated b</w:t>
            </w:r>
            <w:r w:rsidRPr="001B2A66">
              <w:rPr>
                <w:rFonts w:asciiTheme="minorHAnsi" w:hAnsiTheme="minorHAnsi" w:cstheme="minorHAnsi"/>
              </w:rPr>
              <w:t>y our event management provider</w:t>
            </w:r>
            <w:r w:rsidR="001B2A66" w:rsidRPr="001B2A66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="001B2A66" w:rsidRPr="001B2A66">
              <w:rPr>
                <w:rFonts w:asciiTheme="minorHAnsi" w:hAnsiTheme="minorHAnsi" w:cstheme="minorHAnsi"/>
              </w:rPr>
              <w:t>fd</w:t>
            </w:r>
            <w:proofErr w:type="spellEnd"/>
            <w:r w:rsidR="001B2A66" w:rsidRPr="001B2A66">
              <w:rPr>
                <w:rFonts w:asciiTheme="minorHAnsi" w:hAnsiTheme="minorHAnsi" w:cstheme="minorHAnsi"/>
              </w:rPr>
              <w:t xml:space="preserve"> arena.</w:t>
            </w:r>
          </w:p>
          <w:p w14:paraId="2373BECF" w14:textId="30C0E676" w:rsidR="00D74787" w:rsidRDefault="00D74787" w:rsidP="00D7478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People with anxiety are offered pre-event, on the day and run-through</w:t>
            </w:r>
            <w:r w:rsidRPr="00D74787">
              <w:rPr>
                <w:rFonts w:asciiTheme="minorHAnsi" w:hAnsiTheme="minorHAnsi" w:cstheme="minorHAnsi"/>
              </w:rPr>
              <w:t xml:space="preserve"> support as well as end of aisle seating.</w:t>
            </w:r>
          </w:p>
          <w:p w14:paraId="4C039136" w14:textId="7903A071" w:rsidR="000942B2" w:rsidRPr="00D74787" w:rsidRDefault="00CD4A51" w:rsidP="005A113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A679FE">
              <w:rPr>
                <w:rFonts w:asciiTheme="minorHAnsi" w:hAnsiTheme="minorHAnsi" w:cstheme="minorHAnsi"/>
              </w:rPr>
              <w:t xml:space="preserve">A sign language interpreter is provided </w:t>
            </w:r>
            <w:r w:rsidR="000942B2" w:rsidRPr="00A679FE">
              <w:rPr>
                <w:rFonts w:asciiTheme="minorHAnsi" w:hAnsiTheme="minorHAnsi" w:cstheme="minorHAnsi"/>
              </w:rPr>
              <w:t xml:space="preserve">for any </w:t>
            </w:r>
            <w:proofErr w:type="gramStart"/>
            <w:r w:rsidRPr="00A679FE">
              <w:rPr>
                <w:rFonts w:asciiTheme="minorHAnsi" w:hAnsiTheme="minorHAnsi" w:cstheme="minorHAnsi"/>
              </w:rPr>
              <w:t>hearing impaired</w:t>
            </w:r>
            <w:proofErr w:type="gramEnd"/>
            <w:r w:rsidRPr="00A679FE">
              <w:rPr>
                <w:rFonts w:asciiTheme="minorHAnsi" w:hAnsiTheme="minorHAnsi" w:cstheme="minorHAnsi"/>
              </w:rPr>
              <w:t xml:space="preserve"> students or guests if requested. S</w:t>
            </w:r>
            <w:r w:rsidR="000942B2" w:rsidRPr="00A679FE">
              <w:rPr>
                <w:rFonts w:asciiTheme="minorHAnsi" w:hAnsiTheme="minorHAnsi" w:cstheme="minorHAnsi"/>
              </w:rPr>
              <w:t xml:space="preserve">tudents can arrange their own and provide details, or we </w:t>
            </w:r>
            <w:r w:rsidR="000942B2" w:rsidRPr="00D74787">
              <w:rPr>
                <w:rFonts w:asciiTheme="minorHAnsi" w:hAnsiTheme="minorHAnsi" w:cstheme="minorHAnsi"/>
              </w:rPr>
              <w:t xml:space="preserve">use </w:t>
            </w:r>
            <w:r w:rsidR="00D904D3" w:rsidRPr="00D74787">
              <w:rPr>
                <w:rFonts w:asciiTheme="minorHAnsi" w:hAnsiTheme="minorHAnsi" w:cstheme="minorHAnsi"/>
              </w:rPr>
              <w:t>Top Language Solutions</w:t>
            </w:r>
            <w:r w:rsidR="00D74787" w:rsidRPr="00D74787">
              <w:rPr>
                <w:rFonts w:asciiTheme="minorHAnsi" w:hAnsiTheme="minorHAnsi" w:cstheme="minorHAnsi"/>
              </w:rPr>
              <w:t xml:space="preserve"> or Interpreting Solutions</w:t>
            </w:r>
            <w:r w:rsidR="00D904D3" w:rsidRPr="00D74787">
              <w:rPr>
                <w:rFonts w:asciiTheme="minorHAnsi" w:hAnsiTheme="minorHAnsi" w:cstheme="minorHAnsi"/>
              </w:rPr>
              <w:t xml:space="preserve"> </w:t>
            </w:r>
            <w:r w:rsidR="00E4249B" w:rsidRPr="00D74787">
              <w:rPr>
                <w:rFonts w:asciiTheme="minorHAnsi" w:hAnsiTheme="minorHAnsi" w:cstheme="minorHAnsi"/>
              </w:rPr>
              <w:t>as</w:t>
            </w:r>
            <w:r w:rsidR="00D74787" w:rsidRPr="00D74787">
              <w:rPr>
                <w:rFonts w:asciiTheme="minorHAnsi" w:hAnsiTheme="minorHAnsi" w:cstheme="minorHAnsi"/>
              </w:rPr>
              <w:t xml:space="preserve"> one of</w:t>
            </w:r>
            <w:r w:rsidR="00E4249B" w:rsidRPr="00D74787">
              <w:rPr>
                <w:rFonts w:asciiTheme="minorHAnsi" w:hAnsiTheme="minorHAnsi" w:cstheme="minorHAnsi"/>
              </w:rPr>
              <w:t xml:space="preserve"> our approved supplier</w:t>
            </w:r>
            <w:r w:rsidR="00D74787" w:rsidRPr="00D74787">
              <w:rPr>
                <w:rFonts w:asciiTheme="minorHAnsi" w:hAnsiTheme="minorHAnsi" w:cstheme="minorHAnsi"/>
              </w:rPr>
              <w:t>s</w:t>
            </w:r>
          </w:p>
          <w:p w14:paraId="53B807F2" w14:textId="7AD62424" w:rsidR="00A679FE" w:rsidRPr="00A679FE" w:rsidRDefault="00A679FE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A679FE">
              <w:rPr>
                <w:rFonts w:asciiTheme="minorHAnsi" w:hAnsiTheme="minorHAnsi" w:cstheme="minorHAnsi"/>
              </w:rPr>
              <w:t>There is a low risk that the lifts</w:t>
            </w:r>
            <w:r w:rsidR="001B2A66">
              <w:rPr>
                <w:rFonts w:asciiTheme="minorHAnsi" w:hAnsiTheme="minorHAnsi" w:cstheme="minorHAnsi"/>
              </w:rPr>
              <w:t xml:space="preserve"> and escalators</w:t>
            </w:r>
            <w:r w:rsidRPr="00A679FE">
              <w:rPr>
                <w:rFonts w:asciiTheme="minorHAnsi" w:hAnsiTheme="minorHAnsi" w:cstheme="minorHAnsi"/>
              </w:rPr>
              <w:t xml:space="preserve">, used throughout the buildings used for </w:t>
            </w:r>
            <w:r w:rsidR="003D5A87">
              <w:rPr>
                <w:rFonts w:asciiTheme="minorHAnsi" w:hAnsiTheme="minorHAnsi" w:cstheme="minorHAnsi"/>
              </w:rPr>
              <w:t>g</w:t>
            </w:r>
            <w:r w:rsidRPr="00A679FE">
              <w:rPr>
                <w:rFonts w:asciiTheme="minorHAnsi" w:hAnsiTheme="minorHAnsi" w:cstheme="minorHAnsi"/>
              </w:rPr>
              <w:t xml:space="preserve">raduation, break down. </w:t>
            </w:r>
          </w:p>
          <w:p w14:paraId="0722ABB9" w14:textId="61A3F593" w:rsidR="00A679FE" w:rsidRPr="00A679FE" w:rsidRDefault="000942B2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color w:val="000000"/>
              </w:rPr>
            </w:pPr>
            <w:r w:rsidRPr="00A679FE">
              <w:rPr>
                <w:rFonts w:asciiTheme="minorHAnsi" w:hAnsiTheme="minorHAnsi" w:cstheme="minorHAnsi"/>
              </w:rPr>
              <w:t xml:space="preserve">Baby changing facilities and baby feeding rooms are available </w:t>
            </w:r>
            <w:r w:rsidR="00A679FE" w:rsidRPr="00A679FE">
              <w:rPr>
                <w:rFonts w:asciiTheme="minorHAnsi" w:eastAsia="Times New Roman" w:hAnsiTheme="minorHAnsi" w:cstheme="minorHAnsi"/>
                <w:color w:val="000000"/>
              </w:rPr>
              <w:t xml:space="preserve">in some locations </w:t>
            </w:r>
          </w:p>
          <w:p w14:paraId="160D97C1" w14:textId="4DDD34E9" w:rsidR="000942B2" w:rsidRPr="00A679FE" w:rsidRDefault="000942B2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A679FE">
              <w:rPr>
                <w:rFonts w:asciiTheme="minorHAnsi" w:hAnsiTheme="minorHAnsi" w:cstheme="minorHAnsi"/>
              </w:rPr>
              <w:t xml:space="preserve">Prayer </w:t>
            </w:r>
            <w:r w:rsidR="00B14E6F">
              <w:rPr>
                <w:rFonts w:asciiTheme="minorHAnsi" w:hAnsiTheme="minorHAnsi" w:cstheme="minorHAnsi"/>
              </w:rPr>
              <w:t>R</w:t>
            </w:r>
            <w:r w:rsidRPr="00A679FE">
              <w:rPr>
                <w:rFonts w:asciiTheme="minorHAnsi" w:hAnsiTheme="minorHAnsi" w:cstheme="minorHAnsi"/>
              </w:rPr>
              <w:t>oom</w:t>
            </w:r>
            <w:r w:rsidR="00A679FE" w:rsidRPr="00A679FE">
              <w:rPr>
                <w:rFonts w:asciiTheme="minorHAnsi" w:hAnsiTheme="minorHAnsi" w:cstheme="minorHAnsi"/>
              </w:rPr>
              <w:t xml:space="preserve"> </w:t>
            </w:r>
            <w:r w:rsidR="00B14E6F">
              <w:rPr>
                <w:rFonts w:asciiTheme="minorHAnsi" w:hAnsiTheme="minorHAnsi" w:cstheme="minorHAnsi"/>
              </w:rPr>
              <w:t>facilities are</w:t>
            </w:r>
            <w:r w:rsidRPr="00A679FE">
              <w:rPr>
                <w:rFonts w:asciiTheme="minorHAnsi" w:hAnsiTheme="minorHAnsi" w:cstheme="minorHAnsi"/>
              </w:rPr>
              <w:t xml:space="preserve"> available</w:t>
            </w:r>
            <w:r w:rsidR="001B2A66">
              <w:rPr>
                <w:rFonts w:asciiTheme="minorHAnsi" w:hAnsiTheme="minorHAnsi" w:cstheme="minorHAnsi"/>
              </w:rPr>
              <w:t xml:space="preserve"> in a box in the </w:t>
            </w:r>
            <w:proofErr w:type="spellStart"/>
            <w:r w:rsidR="001B2A66">
              <w:rPr>
                <w:rFonts w:asciiTheme="minorHAnsi" w:hAnsiTheme="minorHAnsi" w:cstheme="minorHAnsi"/>
              </w:rPr>
              <w:t>fd</w:t>
            </w:r>
            <w:proofErr w:type="spellEnd"/>
            <w:r w:rsidR="001B2A66">
              <w:rPr>
                <w:rFonts w:asciiTheme="minorHAnsi" w:hAnsiTheme="minorHAnsi" w:cstheme="minorHAnsi"/>
              </w:rPr>
              <w:t xml:space="preserve"> arena</w:t>
            </w:r>
            <w:r w:rsidRPr="00A679FE">
              <w:rPr>
                <w:rFonts w:asciiTheme="minorHAnsi" w:hAnsiTheme="minorHAnsi" w:cstheme="minorHAnsi"/>
              </w:rPr>
              <w:t xml:space="preserve"> </w:t>
            </w:r>
            <w:r w:rsidR="00A679FE" w:rsidRPr="00A679FE">
              <w:rPr>
                <w:rFonts w:asciiTheme="minorHAnsi" w:hAnsiTheme="minorHAnsi" w:cstheme="minorHAnsi"/>
              </w:rPr>
              <w:t>and</w:t>
            </w:r>
            <w:r w:rsidRPr="00A679FE">
              <w:rPr>
                <w:rFonts w:asciiTheme="minorHAnsi" w:hAnsiTheme="minorHAnsi" w:cstheme="minorHAnsi"/>
              </w:rPr>
              <w:t xml:space="preserve"> </w:t>
            </w:r>
            <w:r w:rsidR="001B2A66">
              <w:rPr>
                <w:rFonts w:asciiTheme="minorHAnsi" w:hAnsiTheme="minorHAnsi" w:cstheme="minorHAnsi"/>
              </w:rPr>
              <w:t xml:space="preserve">also at City </w:t>
            </w:r>
            <w:r w:rsidR="00065058">
              <w:rPr>
                <w:rFonts w:asciiTheme="minorHAnsi" w:hAnsiTheme="minorHAnsi" w:cstheme="minorHAnsi"/>
              </w:rPr>
              <w:t>Campus</w:t>
            </w:r>
            <w:r w:rsidR="001B2A66">
              <w:rPr>
                <w:rFonts w:asciiTheme="minorHAnsi" w:hAnsiTheme="minorHAnsi" w:cstheme="minorHAnsi"/>
              </w:rPr>
              <w:t xml:space="preserve"> (a short walk from the </w:t>
            </w:r>
            <w:proofErr w:type="spellStart"/>
            <w:r w:rsidR="001B2A66">
              <w:rPr>
                <w:rFonts w:asciiTheme="minorHAnsi" w:hAnsiTheme="minorHAnsi" w:cstheme="minorHAnsi"/>
              </w:rPr>
              <w:t>fd</w:t>
            </w:r>
            <w:proofErr w:type="spellEnd"/>
            <w:r w:rsidR="001B2A66">
              <w:rPr>
                <w:rFonts w:asciiTheme="minorHAnsi" w:hAnsiTheme="minorHAnsi" w:cstheme="minorHAnsi"/>
              </w:rPr>
              <w:t xml:space="preserve"> arena) </w:t>
            </w:r>
          </w:p>
          <w:p w14:paraId="228380BC" w14:textId="0CE74C98" w:rsidR="000942B2" w:rsidRPr="00A679FE" w:rsidRDefault="000942B2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A679FE">
              <w:rPr>
                <w:rFonts w:asciiTheme="minorHAnsi" w:hAnsiTheme="minorHAnsi" w:cstheme="minorHAnsi"/>
              </w:rPr>
              <w:t xml:space="preserve">Some students do not wish to shake hands with the </w:t>
            </w:r>
            <w:r w:rsidR="00A679FE" w:rsidRPr="00A679FE">
              <w:rPr>
                <w:rFonts w:asciiTheme="minorHAnsi" w:hAnsiTheme="minorHAnsi" w:cstheme="minorHAnsi"/>
              </w:rPr>
              <w:t>Vice Chancellor/Deputy Vice Chancellor on stage</w:t>
            </w:r>
            <w:r w:rsidRPr="00A679FE">
              <w:rPr>
                <w:rFonts w:asciiTheme="minorHAnsi" w:hAnsiTheme="minorHAnsi" w:cstheme="minorHAnsi"/>
              </w:rPr>
              <w:t>. Students will advise ushe</w:t>
            </w:r>
            <w:r w:rsidR="00A679FE" w:rsidRPr="00A679FE">
              <w:rPr>
                <w:rFonts w:asciiTheme="minorHAnsi" w:hAnsiTheme="minorHAnsi" w:cstheme="minorHAnsi"/>
              </w:rPr>
              <w:t>rs of this before the ceremony. A</w:t>
            </w:r>
            <w:r w:rsidRPr="00A679FE">
              <w:rPr>
                <w:rFonts w:asciiTheme="minorHAnsi" w:hAnsiTheme="minorHAnsi" w:cstheme="minorHAnsi"/>
              </w:rPr>
              <w:t xml:space="preserve">ll ushers will be briefed beforehand and ushers will be informed before each ceremony, that if a student does not wish to shake hands with the </w:t>
            </w:r>
            <w:r w:rsidR="00A679FE" w:rsidRPr="00A679FE">
              <w:rPr>
                <w:rFonts w:asciiTheme="minorHAnsi" w:hAnsiTheme="minorHAnsi" w:cstheme="minorHAnsi"/>
              </w:rPr>
              <w:t>Vice Chancellor/Deputy Vice Chancellor</w:t>
            </w:r>
            <w:r w:rsidRPr="00A679FE">
              <w:rPr>
                <w:rFonts w:asciiTheme="minorHAnsi" w:hAnsiTheme="minorHAnsi" w:cstheme="minorHAnsi"/>
              </w:rPr>
              <w:t xml:space="preserve">, </w:t>
            </w:r>
            <w:r w:rsidR="00A679FE" w:rsidRPr="00A679FE">
              <w:rPr>
                <w:rFonts w:asciiTheme="minorHAnsi" w:hAnsiTheme="minorHAnsi" w:cstheme="minorHAnsi"/>
              </w:rPr>
              <w:t>they should</w:t>
            </w:r>
            <w:r w:rsidRPr="00A679FE">
              <w:rPr>
                <w:rFonts w:asciiTheme="minorHAnsi" w:hAnsiTheme="minorHAnsi" w:cstheme="minorHAnsi"/>
              </w:rPr>
              <w:t xml:space="preserve"> touch their left</w:t>
            </w:r>
            <w:r w:rsidR="00A679FE" w:rsidRPr="00A679FE">
              <w:rPr>
                <w:rFonts w:asciiTheme="minorHAnsi" w:hAnsiTheme="minorHAnsi" w:cstheme="minorHAnsi"/>
              </w:rPr>
              <w:t xml:space="preserve"> shoulder with their right hand. The Vice Chancellor/Deputy Vice Chancellor</w:t>
            </w:r>
            <w:r w:rsidRPr="00A679FE">
              <w:rPr>
                <w:rFonts w:asciiTheme="minorHAnsi" w:hAnsiTheme="minorHAnsi" w:cstheme="minorHAnsi"/>
              </w:rPr>
              <w:t xml:space="preserve"> </w:t>
            </w:r>
            <w:r w:rsidR="00A679FE" w:rsidRPr="00A679FE">
              <w:rPr>
                <w:rFonts w:asciiTheme="minorHAnsi" w:hAnsiTheme="minorHAnsi" w:cstheme="minorHAnsi"/>
              </w:rPr>
              <w:t>are also</w:t>
            </w:r>
            <w:r w:rsidRPr="00A679FE">
              <w:rPr>
                <w:rFonts w:asciiTheme="minorHAnsi" w:hAnsiTheme="minorHAnsi" w:cstheme="minorHAnsi"/>
              </w:rPr>
              <w:t xml:space="preserve"> briefed about this an</w:t>
            </w:r>
            <w:r w:rsidR="00A679FE" w:rsidRPr="00A679FE">
              <w:rPr>
                <w:rFonts w:asciiTheme="minorHAnsi" w:hAnsiTheme="minorHAnsi" w:cstheme="minorHAnsi"/>
              </w:rPr>
              <w:t xml:space="preserve">d will know not to shake </w:t>
            </w:r>
            <w:r w:rsidR="00E4249B">
              <w:rPr>
                <w:rFonts w:asciiTheme="minorHAnsi" w:hAnsiTheme="minorHAnsi" w:cstheme="minorHAnsi"/>
              </w:rPr>
              <w:t>hands with the student on stage</w:t>
            </w:r>
          </w:p>
          <w:p w14:paraId="29EE79ED" w14:textId="66017F52" w:rsidR="000942B2" w:rsidRPr="00A679FE" w:rsidRDefault="00F2602A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A679FE">
              <w:rPr>
                <w:rFonts w:asciiTheme="minorHAnsi" w:hAnsiTheme="minorHAnsi" w:cstheme="minorHAnsi"/>
              </w:rPr>
              <w:t xml:space="preserve">Equality and Diversity briefing notes and training will be provided as part of Usher Training sessions </w:t>
            </w:r>
            <w:r w:rsidR="00EC7AA0" w:rsidRPr="00A679FE">
              <w:rPr>
                <w:rFonts w:asciiTheme="minorHAnsi" w:hAnsiTheme="minorHAnsi" w:cstheme="minorHAnsi"/>
              </w:rPr>
              <w:t xml:space="preserve">to ensure staff working at the event are </w:t>
            </w:r>
            <w:r w:rsidR="007709DC" w:rsidRPr="00A679FE">
              <w:rPr>
                <w:rFonts w:asciiTheme="minorHAnsi" w:hAnsiTheme="minorHAnsi" w:cstheme="minorHAnsi"/>
              </w:rPr>
              <w:t>aware of</w:t>
            </w:r>
            <w:r w:rsidR="00EC7AA0" w:rsidRPr="00A679FE">
              <w:rPr>
                <w:rFonts w:asciiTheme="minorHAnsi" w:hAnsiTheme="minorHAnsi" w:cstheme="minorHAnsi"/>
              </w:rPr>
              <w:t xml:space="preserve"> possible requirements based on disability, religion, gender and cultural sensitivities</w:t>
            </w:r>
            <w:r w:rsidR="007709DC" w:rsidRPr="00A679FE">
              <w:rPr>
                <w:rFonts w:asciiTheme="minorHAnsi" w:hAnsiTheme="minorHAnsi" w:cstheme="minorHAnsi"/>
              </w:rPr>
              <w:t>.</w:t>
            </w:r>
          </w:p>
          <w:p w14:paraId="3CC83378" w14:textId="6A382EA7" w:rsidR="000942B2" w:rsidRPr="00E4249B" w:rsidRDefault="00065058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Unlimited tickets are available to students for graduation in the </w:t>
            </w:r>
            <w:proofErr w:type="spellStart"/>
            <w:r>
              <w:rPr>
                <w:rFonts w:asciiTheme="minorHAnsi" w:hAnsiTheme="minorHAnsi" w:cstheme="minorHAnsi"/>
              </w:rPr>
              <w:t>fd</w:t>
            </w:r>
            <w:proofErr w:type="spellEnd"/>
            <w:r>
              <w:rPr>
                <w:rFonts w:asciiTheme="minorHAnsi" w:hAnsiTheme="minorHAnsi" w:cstheme="minorHAnsi"/>
              </w:rPr>
              <w:t xml:space="preserve"> arena. Live screening venues on campus are therefore not needed. Ceremonies will be streamed live on LBU’s </w:t>
            </w:r>
            <w:proofErr w:type="spellStart"/>
            <w:r>
              <w:rPr>
                <w:rFonts w:asciiTheme="minorHAnsi" w:hAnsiTheme="minorHAnsi" w:cstheme="minorHAnsi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</w:rPr>
              <w:t xml:space="preserve"> channel and also on Facebook Live.</w:t>
            </w:r>
          </w:p>
          <w:p w14:paraId="316314B4" w14:textId="3C20E261" w:rsidR="00E4249B" w:rsidRPr="00A679FE" w:rsidRDefault="00E4249B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A family-friendly room </w:t>
            </w:r>
            <w:r w:rsidR="00065058">
              <w:rPr>
                <w:rFonts w:asciiTheme="minorHAnsi" w:hAnsiTheme="minorHAnsi" w:cstheme="minorHAnsi"/>
              </w:rPr>
              <w:t>to watch the ceremony from a distance will be available in one of the boxes.</w:t>
            </w:r>
          </w:p>
          <w:p w14:paraId="676B492D" w14:textId="2A79F56B" w:rsidR="00E145EB" w:rsidRPr="00065058" w:rsidRDefault="00E145EB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A679FE">
              <w:rPr>
                <w:rFonts w:asciiTheme="minorHAnsi" w:hAnsiTheme="minorHAnsi" w:cstheme="minorHAnsi"/>
              </w:rPr>
              <w:t>Children under two</w:t>
            </w:r>
            <w:r w:rsidR="0016726B">
              <w:rPr>
                <w:rFonts w:asciiTheme="minorHAnsi" w:hAnsiTheme="minorHAnsi" w:cstheme="minorHAnsi"/>
              </w:rPr>
              <w:t>-</w:t>
            </w:r>
            <w:r w:rsidRPr="00A679FE">
              <w:rPr>
                <w:rFonts w:asciiTheme="minorHAnsi" w:hAnsiTheme="minorHAnsi" w:cstheme="minorHAnsi"/>
              </w:rPr>
              <w:t>years of age are permitted</w:t>
            </w:r>
            <w:r w:rsidR="0016726B">
              <w:rPr>
                <w:rFonts w:asciiTheme="minorHAnsi" w:hAnsiTheme="minorHAnsi" w:cstheme="minorHAnsi"/>
              </w:rPr>
              <w:t xml:space="preserve"> in to the </w:t>
            </w:r>
            <w:r w:rsidR="00065058">
              <w:rPr>
                <w:rFonts w:asciiTheme="minorHAnsi" w:hAnsiTheme="minorHAnsi" w:cstheme="minorHAnsi"/>
              </w:rPr>
              <w:t>a</w:t>
            </w:r>
            <w:r w:rsidR="0016726B">
              <w:rPr>
                <w:rFonts w:asciiTheme="minorHAnsi" w:hAnsiTheme="minorHAnsi" w:cstheme="minorHAnsi"/>
              </w:rPr>
              <w:t>uditorium</w:t>
            </w:r>
            <w:r w:rsidRPr="00A679FE">
              <w:rPr>
                <w:rFonts w:asciiTheme="minorHAnsi" w:hAnsiTheme="minorHAnsi" w:cstheme="minorHAnsi"/>
              </w:rPr>
              <w:t xml:space="preserve"> free of charge and must sit on the knee of an adult.  Prams and pushchairs are not permitted in the </w:t>
            </w:r>
            <w:r w:rsidR="00065058">
              <w:rPr>
                <w:rFonts w:asciiTheme="minorHAnsi" w:hAnsiTheme="minorHAnsi" w:cstheme="minorHAnsi"/>
              </w:rPr>
              <w:t>a</w:t>
            </w:r>
            <w:r w:rsidR="0016726B">
              <w:rPr>
                <w:rFonts w:asciiTheme="minorHAnsi" w:hAnsiTheme="minorHAnsi" w:cstheme="minorHAnsi"/>
              </w:rPr>
              <w:t>uditorium but can be left in the free of charge cloakroom</w:t>
            </w:r>
          </w:p>
          <w:p w14:paraId="23C8C25E" w14:textId="5F527B6D" w:rsidR="00065058" w:rsidRPr="00065058" w:rsidRDefault="00065058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065058">
              <w:rPr>
                <w:rFonts w:asciiTheme="minorHAnsi" w:hAnsiTheme="minorHAnsi" w:cstheme="minorHAnsi"/>
              </w:rPr>
              <w:t xml:space="preserve">All attendees (including children under two) must have a ticket to enter the arena and all attendees will be screened upon entry for security purposes. Airport style technology and SIA door supervisors are used by the </w:t>
            </w:r>
            <w:proofErr w:type="spellStart"/>
            <w:r w:rsidRPr="00065058">
              <w:rPr>
                <w:rFonts w:asciiTheme="minorHAnsi" w:hAnsiTheme="minorHAnsi" w:cstheme="minorHAnsi"/>
              </w:rPr>
              <w:t>fd</w:t>
            </w:r>
            <w:proofErr w:type="spellEnd"/>
            <w:r w:rsidRPr="00065058">
              <w:rPr>
                <w:rFonts w:asciiTheme="minorHAnsi" w:hAnsiTheme="minorHAnsi" w:cstheme="minorHAnsi"/>
              </w:rPr>
              <w:t xml:space="preserve"> arena.</w:t>
            </w:r>
          </w:p>
          <w:p w14:paraId="19E3213C" w14:textId="66D65783" w:rsidR="003E6EB8" w:rsidRPr="00D74787" w:rsidRDefault="00D74787" w:rsidP="005A11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D74787">
              <w:rPr>
                <w:rFonts w:asciiTheme="minorHAnsi" w:hAnsiTheme="minorHAnsi" w:cstheme="minorHAnsi"/>
              </w:rPr>
              <w:t>D</w:t>
            </w:r>
            <w:r w:rsidR="003E6EB8" w:rsidRPr="00D74787">
              <w:rPr>
                <w:rFonts w:asciiTheme="minorHAnsi" w:hAnsiTheme="minorHAnsi" w:cstheme="minorHAnsi"/>
              </w:rPr>
              <w:t xml:space="preserve">edicated first aid specialists will be available </w:t>
            </w:r>
            <w:r w:rsidR="00065058">
              <w:rPr>
                <w:rFonts w:asciiTheme="minorHAnsi" w:hAnsiTheme="minorHAnsi" w:cstheme="minorHAnsi"/>
              </w:rPr>
              <w:t xml:space="preserve">in the </w:t>
            </w:r>
            <w:proofErr w:type="spellStart"/>
            <w:r w:rsidR="00065058">
              <w:rPr>
                <w:rFonts w:asciiTheme="minorHAnsi" w:hAnsiTheme="minorHAnsi" w:cstheme="minorHAnsi"/>
              </w:rPr>
              <w:t>fd</w:t>
            </w:r>
            <w:proofErr w:type="spellEnd"/>
            <w:r w:rsidR="00065058">
              <w:rPr>
                <w:rFonts w:asciiTheme="minorHAnsi" w:hAnsiTheme="minorHAnsi" w:cstheme="minorHAnsi"/>
              </w:rPr>
              <w:t xml:space="preserve"> arena and at the post ceremony celebration space (venue TBC)</w:t>
            </w:r>
          </w:p>
          <w:p w14:paraId="6ABE6958" w14:textId="33D91F67" w:rsidR="00B2353E" w:rsidRPr="00B62D39" w:rsidRDefault="003D5A87" w:rsidP="0016726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r w:rsidRPr="00D74787">
              <w:rPr>
                <w:rFonts w:asciiTheme="minorHAnsi" w:hAnsiTheme="minorHAnsi" w:cstheme="minorHAnsi"/>
              </w:rPr>
              <w:t>Gender-neutral</w:t>
            </w:r>
            <w:r w:rsidR="00B14E6F" w:rsidRPr="00D74787">
              <w:rPr>
                <w:rFonts w:asciiTheme="minorHAnsi" w:hAnsiTheme="minorHAnsi" w:cstheme="minorHAnsi"/>
              </w:rPr>
              <w:t xml:space="preserve"> </w:t>
            </w:r>
            <w:r w:rsidR="00F2602A" w:rsidRPr="00D74787">
              <w:rPr>
                <w:rFonts w:asciiTheme="minorHAnsi" w:hAnsiTheme="minorHAnsi" w:cstheme="minorHAnsi"/>
              </w:rPr>
              <w:t>toilets</w:t>
            </w:r>
            <w:r w:rsidR="00B14E6F">
              <w:rPr>
                <w:rFonts w:asciiTheme="minorHAnsi" w:hAnsiTheme="minorHAnsi" w:cstheme="minorHAnsi"/>
              </w:rPr>
              <w:t xml:space="preserve"> are available </w:t>
            </w:r>
            <w:r w:rsidR="00065058">
              <w:rPr>
                <w:rFonts w:asciiTheme="minorHAnsi" w:hAnsiTheme="minorHAnsi" w:cstheme="minorHAnsi"/>
              </w:rPr>
              <w:t xml:space="preserve">at Portland </w:t>
            </w:r>
            <w:r w:rsidR="00336AFA">
              <w:rPr>
                <w:rFonts w:asciiTheme="minorHAnsi" w:hAnsiTheme="minorHAnsi" w:cstheme="minorHAnsi"/>
              </w:rPr>
              <w:t>building i</w:t>
            </w:r>
            <w:r w:rsidR="00065058">
              <w:rPr>
                <w:rFonts w:asciiTheme="minorHAnsi" w:hAnsiTheme="minorHAnsi" w:cstheme="minorHAnsi"/>
              </w:rPr>
              <w:t>n City Campus</w:t>
            </w:r>
          </w:p>
          <w:p w14:paraId="340B921C" w14:textId="54C5E99E" w:rsidR="00B62D39" w:rsidRPr="00065058" w:rsidRDefault="00B62D39" w:rsidP="0016726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>Students are able to change the name they are announce</w:t>
            </w:r>
            <w:r w:rsidR="00D74787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over the stage with in the lead up to graduation and on the day</w:t>
            </w:r>
          </w:p>
          <w:p w14:paraId="285D0B25" w14:textId="6001FF40" w:rsidR="00065058" w:rsidRDefault="00336AFA" w:rsidP="00C9265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r w:rsidRPr="00065058">
              <w:rPr>
                <w:rFonts w:cs="Calibri"/>
              </w:rPr>
              <w:t>Students</w:t>
            </w:r>
            <w:r w:rsidR="00065058" w:rsidRPr="00065058">
              <w:rPr>
                <w:rFonts w:cs="Calibri"/>
              </w:rPr>
              <w:t xml:space="preserve"> are asked to provide the phonetic spelling of their name when they register their attendance at </w:t>
            </w:r>
            <w:r w:rsidR="00065058" w:rsidRPr="00485B8F">
              <w:rPr>
                <w:rFonts w:cs="Calibri"/>
              </w:rPr>
              <w:t>graduation</w:t>
            </w:r>
            <w:r w:rsidRPr="00485B8F">
              <w:rPr>
                <w:rFonts w:cs="Calibri"/>
              </w:rPr>
              <w:t xml:space="preserve"> if they are </w:t>
            </w:r>
            <w:r w:rsidR="00485B8F" w:rsidRPr="00485B8F">
              <w:rPr>
                <w:rFonts w:cs="Calibri"/>
              </w:rPr>
              <w:t>concerned</w:t>
            </w:r>
            <w:r w:rsidRPr="00485B8F">
              <w:rPr>
                <w:rFonts w:cs="Calibri"/>
              </w:rPr>
              <w:t xml:space="preserve"> about it being mispronounced</w:t>
            </w:r>
            <w:r w:rsidR="00065058" w:rsidRPr="00485B8F">
              <w:rPr>
                <w:rFonts w:cs="Calibri"/>
              </w:rPr>
              <w:t>.</w:t>
            </w:r>
            <w:r w:rsidR="00065058" w:rsidRPr="00065058">
              <w:rPr>
                <w:rFonts w:cs="Calibri"/>
              </w:rPr>
              <w:t xml:space="preserve"> ‘Phonetic’ is explained to ensure it is understood.</w:t>
            </w:r>
          </w:p>
          <w:p w14:paraId="2E2E526E" w14:textId="4B97CE32" w:rsidR="00B62D39" w:rsidRPr="00065058" w:rsidRDefault="00B62D39" w:rsidP="00C9265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r w:rsidRPr="00065058">
              <w:rPr>
                <w:rFonts w:cs="Calibri"/>
              </w:rPr>
              <w:t xml:space="preserve">The name printed on the certificate and in the programme is the name the student is registered with at the university. If a student has changed their name and want their new name to appear on their certificate, they can contact their </w:t>
            </w:r>
            <w:r w:rsidR="00336AFA" w:rsidRPr="00485B8F">
              <w:rPr>
                <w:rFonts w:cs="Calibri"/>
              </w:rPr>
              <w:t xml:space="preserve">school </w:t>
            </w:r>
            <w:r w:rsidRPr="00485B8F">
              <w:rPr>
                <w:rFonts w:cs="Calibri"/>
              </w:rPr>
              <w:t>administrator</w:t>
            </w:r>
            <w:r w:rsidRPr="00065058">
              <w:rPr>
                <w:rFonts w:cs="Calibri"/>
              </w:rPr>
              <w:t xml:space="preserve"> before Wednesday 26 June 2019 with proof of their name </w:t>
            </w:r>
            <w:r w:rsidR="0031712D" w:rsidRPr="00065058">
              <w:rPr>
                <w:rFonts w:cs="Calibri"/>
              </w:rPr>
              <w:t>change</w:t>
            </w:r>
          </w:p>
          <w:p w14:paraId="41F50579" w14:textId="77777777" w:rsidR="0031712D" w:rsidRDefault="0031712D" w:rsidP="00B62D3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 xml:space="preserve">Images from </w:t>
            </w:r>
            <w:r w:rsidR="00A03858">
              <w:rPr>
                <w:rFonts w:cs="Calibri"/>
              </w:rPr>
              <w:t>students’</w:t>
            </w:r>
            <w:r>
              <w:rPr>
                <w:rFonts w:cs="Calibri"/>
              </w:rPr>
              <w:t xml:space="preserve"> experiences at university related events are included in the pre-ceremony video and feature events including, Freshers Week, Leeds Pride</w:t>
            </w:r>
            <w:r w:rsidR="00A03858">
              <w:rPr>
                <w:rFonts w:cs="Calibri"/>
              </w:rPr>
              <w:t>, SU gigs and various key dates in the academic calendar.</w:t>
            </w:r>
          </w:p>
          <w:p w14:paraId="456DFE38" w14:textId="77777777" w:rsidR="00065058" w:rsidRDefault="00065058" w:rsidP="00B62D3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The university endeavours to ensure a diverse representation of senior management on the Platform Party.</w:t>
            </w:r>
          </w:p>
          <w:p w14:paraId="4F5D3DA8" w14:textId="27BE7EDD" w:rsidR="00824B6D" w:rsidRPr="00286C20" w:rsidRDefault="00824B6D" w:rsidP="00B62D3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</w:rPr>
            </w:pPr>
            <w:bookmarkStart w:id="1" w:name="_Hlk11325312"/>
            <w:r>
              <w:rPr>
                <w:rFonts w:cs="Calibri"/>
              </w:rPr>
              <w:t xml:space="preserve">Academic colleagues are invited to attend graduation as part of the academic procession. An e-invitation is sent to them advising them of the booking dates; 16 April to 31 May for 2019 with the Events team accepting late bookings until 17 June. Colleagues complete a google </w:t>
            </w:r>
            <w:r>
              <w:rPr>
                <w:rFonts w:cs="Calibri"/>
              </w:rPr>
              <w:lastRenderedPageBreak/>
              <w:t>form which asks for any special requirements. Upon bookings closing, the Events team contact anyone indicating that they have a special requirement and offer a number of options based on their needs. The options are also communicated in the academic procession briefing issued to all colleagues booked on to a procession.</w:t>
            </w:r>
            <w:bookmarkEnd w:id="1"/>
          </w:p>
        </w:tc>
      </w:tr>
    </w:tbl>
    <w:p w14:paraId="476AE0D0" w14:textId="77777777" w:rsidR="00B2353E" w:rsidRDefault="00B2353E" w:rsidP="00871217">
      <w:pPr>
        <w:pStyle w:val="NoSpacing"/>
      </w:pPr>
    </w:p>
    <w:p w14:paraId="6A3F5763" w14:textId="77777777" w:rsidR="00E02BB8" w:rsidRPr="00E00CFB" w:rsidRDefault="0042165B" w:rsidP="008712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Section 4</w:t>
      </w:r>
      <w:r w:rsidR="00E02BB8" w:rsidRPr="00E00CFB">
        <w:rPr>
          <w:b/>
          <w:sz w:val="28"/>
          <w:szCs w:val="28"/>
        </w:rPr>
        <w:t xml:space="preserve">: </w:t>
      </w:r>
      <w:r w:rsidR="00B93E8B">
        <w:rPr>
          <w:b/>
          <w:sz w:val="28"/>
          <w:szCs w:val="28"/>
        </w:rPr>
        <w:t>Progressing</w:t>
      </w:r>
      <w:r w:rsidR="00040AAC" w:rsidRPr="00E00CFB">
        <w:rPr>
          <w:b/>
          <w:sz w:val="28"/>
          <w:szCs w:val="28"/>
        </w:rPr>
        <w:t xml:space="preserve"> the </w:t>
      </w:r>
      <w:r w:rsidR="00E00CFB" w:rsidRPr="00E00CFB">
        <w:rPr>
          <w:b/>
          <w:sz w:val="28"/>
          <w:szCs w:val="28"/>
        </w:rPr>
        <w:t>Equality Duty</w:t>
      </w:r>
    </w:p>
    <w:p w14:paraId="1B086A47" w14:textId="77777777" w:rsidR="00E02BB8" w:rsidRPr="00E00CFB" w:rsidRDefault="00E00CFB" w:rsidP="00871217">
      <w:pPr>
        <w:pStyle w:val="NoSpacing"/>
      </w:pPr>
      <w:r>
        <w:rPr>
          <w:i/>
        </w:rPr>
        <w:t xml:space="preserve">Is there an opportunity to </w:t>
      </w:r>
      <w:r w:rsidR="0042165B">
        <w:rPr>
          <w:i/>
        </w:rPr>
        <w:t>use this policy, practice</w:t>
      </w:r>
      <w:r w:rsidR="00F049A4">
        <w:rPr>
          <w:i/>
        </w:rPr>
        <w:t xml:space="preserve"> or procedure to </w:t>
      </w:r>
      <w:r w:rsidR="00400680">
        <w:rPr>
          <w:i/>
        </w:rPr>
        <w:t xml:space="preserve">advance the </w:t>
      </w:r>
      <w:r w:rsidR="00F049A4">
        <w:rPr>
          <w:i/>
        </w:rPr>
        <w:t>core aims of the Equality Act at</w:t>
      </w:r>
      <w:r w:rsidR="00400680">
        <w:rPr>
          <w:i/>
        </w:rPr>
        <w:t xml:space="preserve"> our University?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869"/>
        <w:gridCol w:w="868"/>
      </w:tblGrid>
      <w:tr w:rsidR="00E02BB8" w:rsidRPr="00286C20" w14:paraId="78D399DA" w14:textId="77777777" w:rsidTr="00286C20">
        <w:tc>
          <w:tcPr>
            <w:tcW w:w="7479" w:type="dxa"/>
            <w:shd w:val="clear" w:color="auto" w:fill="F2F2F2"/>
          </w:tcPr>
          <w:p w14:paraId="2CE1DC31" w14:textId="77777777" w:rsidR="00E02BB8" w:rsidRPr="00286C20" w:rsidRDefault="00400680" w:rsidP="00F049A4">
            <w:pPr>
              <w:pStyle w:val="NoSpacing"/>
            </w:pPr>
            <w:r w:rsidRPr="00286C20">
              <w:t>Eliminate unlawful discrimination, harassment and victimisation</w:t>
            </w:r>
          </w:p>
        </w:tc>
        <w:tc>
          <w:tcPr>
            <w:tcW w:w="881" w:type="dxa"/>
            <w:shd w:val="clear" w:color="auto" w:fill="auto"/>
          </w:tcPr>
          <w:p w14:paraId="6FC918B1" w14:textId="77777777" w:rsidR="00E02BB8" w:rsidRPr="00286C20" w:rsidRDefault="00AA2E08" w:rsidP="00E00CFB">
            <w:pPr>
              <w:pStyle w:val="NoSpacing"/>
            </w:pPr>
            <w:r w:rsidRPr="00AA2E08">
              <w:rPr>
                <w:rFonts w:ascii="MS Gothic" w:eastAsia="MS Gothic" w:hAnsi="MS Gothic"/>
              </w:rPr>
              <w:t>☑</w:t>
            </w:r>
            <w:r w:rsidR="00E02BB8" w:rsidRPr="00286C20">
              <w:t xml:space="preserve"> Yes </w:t>
            </w:r>
          </w:p>
        </w:tc>
        <w:tc>
          <w:tcPr>
            <w:tcW w:w="882" w:type="dxa"/>
            <w:shd w:val="clear" w:color="auto" w:fill="auto"/>
          </w:tcPr>
          <w:p w14:paraId="10C536CA" w14:textId="77777777" w:rsidR="00E02BB8" w:rsidRPr="00286C20" w:rsidRDefault="00E02BB8" w:rsidP="00E00CFB">
            <w:pPr>
              <w:pStyle w:val="NoSpacing"/>
            </w:pPr>
            <w:r w:rsidRPr="00286C20">
              <w:rPr>
                <w:rFonts w:ascii="MS Gothic" w:eastAsia="MS Gothic" w:hAnsi="MS Gothic" w:hint="eastAsia"/>
              </w:rPr>
              <w:t>☐</w:t>
            </w:r>
            <w:r w:rsidRPr="00286C20">
              <w:t xml:space="preserve"> No</w:t>
            </w:r>
          </w:p>
        </w:tc>
      </w:tr>
      <w:tr w:rsidR="00E02BB8" w:rsidRPr="00286C20" w14:paraId="35F37700" w14:textId="77777777" w:rsidTr="00286C20">
        <w:tc>
          <w:tcPr>
            <w:tcW w:w="7479" w:type="dxa"/>
            <w:shd w:val="clear" w:color="auto" w:fill="F2F2F2"/>
          </w:tcPr>
          <w:p w14:paraId="68C2426B" w14:textId="77777777" w:rsidR="00E02BB8" w:rsidRPr="00286C20" w:rsidRDefault="00F049A4" w:rsidP="00F049A4">
            <w:pPr>
              <w:pStyle w:val="NoSpacing"/>
            </w:pPr>
            <w:r w:rsidRPr="00286C20">
              <w:t>Advance equality of opportunity between different protected groups</w:t>
            </w:r>
          </w:p>
        </w:tc>
        <w:tc>
          <w:tcPr>
            <w:tcW w:w="881" w:type="dxa"/>
            <w:shd w:val="clear" w:color="auto" w:fill="auto"/>
          </w:tcPr>
          <w:p w14:paraId="7F7AF762" w14:textId="77777777" w:rsidR="00E02BB8" w:rsidRPr="00286C20" w:rsidRDefault="00AA2E08" w:rsidP="00E00CFB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E02BB8" w:rsidRPr="00286C20">
              <w:t xml:space="preserve"> Yes </w:t>
            </w:r>
          </w:p>
        </w:tc>
        <w:tc>
          <w:tcPr>
            <w:tcW w:w="882" w:type="dxa"/>
            <w:shd w:val="clear" w:color="auto" w:fill="auto"/>
          </w:tcPr>
          <w:p w14:paraId="2B7155C0" w14:textId="77777777" w:rsidR="00E02BB8" w:rsidRPr="00286C20" w:rsidRDefault="00E02BB8" w:rsidP="00E00CFB">
            <w:pPr>
              <w:pStyle w:val="NoSpacing"/>
            </w:pPr>
            <w:r w:rsidRPr="00286C20">
              <w:rPr>
                <w:rFonts w:ascii="MS Gothic" w:eastAsia="MS Gothic" w:hAnsi="MS Gothic" w:hint="eastAsia"/>
              </w:rPr>
              <w:t>☐</w:t>
            </w:r>
            <w:r w:rsidRPr="00286C20">
              <w:t xml:space="preserve"> No</w:t>
            </w:r>
          </w:p>
        </w:tc>
      </w:tr>
      <w:tr w:rsidR="00E02BB8" w:rsidRPr="00286C20" w14:paraId="5AD15BBE" w14:textId="77777777" w:rsidTr="00286C20">
        <w:tc>
          <w:tcPr>
            <w:tcW w:w="7479" w:type="dxa"/>
            <w:shd w:val="clear" w:color="auto" w:fill="F2F2F2"/>
          </w:tcPr>
          <w:p w14:paraId="58290314" w14:textId="77777777" w:rsidR="00E02BB8" w:rsidRPr="00286C20" w:rsidRDefault="00F049A4" w:rsidP="00E00CFB">
            <w:pPr>
              <w:pStyle w:val="NoSpacing"/>
            </w:pPr>
            <w:r w:rsidRPr="00286C20">
              <w:t>Foster good relations between different protected groups</w:t>
            </w:r>
          </w:p>
        </w:tc>
        <w:tc>
          <w:tcPr>
            <w:tcW w:w="881" w:type="dxa"/>
            <w:shd w:val="clear" w:color="auto" w:fill="auto"/>
          </w:tcPr>
          <w:p w14:paraId="38680C6E" w14:textId="77777777" w:rsidR="00E02BB8" w:rsidRPr="00286C20" w:rsidRDefault="00AA2E08" w:rsidP="00E00CFB">
            <w:pPr>
              <w:pStyle w:val="NoSpacing"/>
            </w:pPr>
            <w:r>
              <w:rPr>
                <w:rFonts w:ascii="MS Gothic" w:eastAsia="MS Gothic" w:hAnsi="MS Gothic" w:hint="eastAsia"/>
              </w:rPr>
              <w:t>☑</w:t>
            </w:r>
            <w:r w:rsidR="00E02BB8" w:rsidRPr="00286C20">
              <w:t xml:space="preserve"> Yes </w:t>
            </w:r>
          </w:p>
        </w:tc>
        <w:tc>
          <w:tcPr>
            <w:tcW w:w="882" w:type="dxa"/>
            <w:shd w:val="clear" w:color="auto" w:fill="auto"/>
          </w:tcPr>
          <w:p w14:paraId="0AB19C99" w14:textId="77777777" w:rsidR="00E02BB8" w:rsidRPr="00286C20" w:rsidRDefault="00E02BB8" w:rsidP="00E00CFB">
            <w:pPr>
              <w:pStyle w:val="NoSpacing"/>
            </w:pPr>
            <w:r w:rsidRPr="00286C20">
              <w:rPr>
                <w:rFonts w:ascii="MS Gothic" w:eastAsia="MS Gothic" w:hAnsi="MS Gothic" w:hint="eastAsia"/>
              </w:rPr>
              <w:t>☐</w:t>
            </w:r>
            <w:r w:rsidRPr="00286C20">
              <w:t xml:space="preserve"> No</w:t>
            </w:r>
          </w:p>
        </w:tc>
      </w:tr>
    </w:tbl>
    <w:p w14:paraId="2CB970C6" w14:textId="77777777" w:rsidR="0078237D" w:rsidRDefault="0078237D" w:rsidP="00871217">
      <w:pPr>
        <w:pStyle w:val="NoSpacing"/>
        <w:rPr>
          <w:b/>
          <w:sz w:val="28"/>
          <w:szCs w:val="28"/>
        </w:rPr>
      </w:pPr>
    </w:p>
    <w:p w14:paraId="61283338" w14:textId="77777777" w:rsidR="00E02BB8" w:rsidRPr="00E00CFB" w:rsidRDefault="0042165B" w:rsidP="008712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Section 5</w:t>
      </w:r>
      <w:r w:rsidR="00E02BB8" w:rsidRPr="00E00CFB">
        <w:rPr>
          <w:b/>
          <w:sz w:val="28"/>
          <w:szCs w:val="28"/>
        </w:rPr>
        <w:t xml:space="preserve">: </w:t>
      </w:r>
      <w:r w:rsidR="00DD2995" w:rsidRPr="00E00CFB">
        <w:rPr>
          <w:b/>
          <w:sz w:val="28"/>
          <w:szCs w:val="28"/>
        </w:rPr>
        <w:t>Action planning</w:t>
      </w:r>
    </w:p>
    <w:p w14:paraId="5E41DCA2" w14:textId="77777777" w:rsidR="00E02BB8" w:rsidRDefault="00E02BB8" w:rsidP="00871217">
      <w:pPr>
        <w:pStyle w:val="NoSpacing"/>
      </w:pPr>
      <w:r>
        <w:rPr>
          <w:i/>
        </w:rPr>
        <w:t>Please describe what actions you will take as a result of undertaking this impact assessment – what is the timescale for each and who is responsible (add more rows if necessary).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095"/>
        <w:gridCol w:w="1446"/>
        <w:gridCol w:w="1701"/>
      </w:tblGrid>
      <w:tr w:rsidR="00E02BB8" w:rsidRPr="00286C20" w14:paraId="6707D33B" w14:textId="77777777" w:rsidTr="00355989">
        <w:tc>
          <w:tcPr>
            <w:tcW w:w="392" w:type="dxa"/>
            <w:shd w:val="clear" w:color="auto" w:fill="F2F2F2"/>
          </w:tcPr>
          <w:p w14:paraId="1FBA2545" w14:textId="77777777" w:rsidR="00E02BB8" w:rsidRPr="00286C20" w:rsidRDefault="0078237D" w:rsidP="00871217">
            <w:pPr>
              <w:pStyle w:val="NoSpacing"/>
              <w:rPr>
                <w:b/>
              </w:rPr>
            </w:pPr>
            <w:r w:rsidRPr="00286C20">
              <w:rPr>
                <w:b/>
              </w:rPr>
              <w:t>#</w:t>
            </w:r>
          </w:p>
        </w:tc>
        <w:tc>
          <w:tcPr>
            <w:tcW w:w="6095" w:type="dxa"/>
            <w:shd w:val="clear" w:color="auto" w:fill="F2F2F2"/>
          </w:tcPr>
          <w:p w14:paraId="4334898E" w14:textId="77777777" w:rsidR="00E02BB8" w:rsidRPr="00286C20" w:rsidRDefault="00E02BB8" w:rsidP="00871217">
            <w:pPr>
              <w:pStyle w:val="NoSpacing"/>
              <w:rPr>
                <w:b/>
              </w:rPr>
            </w:pPr>
            <w:r w:rsidRPr="00286C20">
              <w:rPr>
                <w:b/>
              </w:rPr>
              <w:t>Action</w:t>
            </w:r>
          </w:p>
        </w:tc>
        <w:tc>
          <w:tcPr>
            <w:tcW w:w="1446" w:type="dxa"/>
            <w:shd w:val="clear" w:color="auto" w:fill="F2F2F2"/>
          </w:tcPr>
          <w:p w14:paraId="518DDCFC" w14:textId="77777777" w:rsidR="00E02BB8" w:rsidRPr="00286C20" w:rsidRDefault="00E02BB8" w:rsidP="00871217">
            <w:pPr>
              <w:pStyle w:val="NoSpacing"/>
              <w:rPr>
                <w:b/>
              </w:rPr>
            </w:pPr>
            <w:r w:rsidRPr="00286C20">
              <w:rPr>
                <w:b/>
              </w:rPr>
              <w:t>Timescale</w:t>
            </w:r>
          </w:p>
        </w:tc>
        <w:tc>
          <w:tcPr>
            <w:tcW w:w="1701" w:type="dxa"/>
            <w:shd w:val="clear" w:color="auto" w:fill="F2F2F2"/>
          </w:tcPr>
          <w:p w14:paraId="4A638590" w14:textId="77777777" w:rsidR="00E02BB8" w:rsidRPr="00286C20" w:rsidRDefault="00E02BB8" w:rsidP="00871217">
            <w:pPr>
              <w:pStyle w:val="NoSpacing"/>
              <w:rPr>
                <w:b/>
              </w:rPr>
            </w:pPr>
            <w:r w:rsidRPr="00286C20">
              <w:rPr>
                <w:b/>
              </w:rPr>
              <w:t>Responsibility</w:t>
            </w:r>
          </w:p>
        </w:tc>
      </w:tr>
      <w:tr w:rsidR="00E02BB8" w:rsidRPr="00286C20" w14:paraId="0E789B0A" w14:textId="77777777" w:rsidTr="00355989">
        <w:tc>
          <w:tcPr>
            <w:tcW w:w="392" w:type="dxa"/>
            <w:shd w:val="clear" w:color="auto" w:fill="auto"/>
          </w:tcPr>
          <w:p w14:paraId="323F6A2F" w14:textId="77777777" w:rsidR="00E02BB8" w:rsidRPr="00286C20" w:rsidRDefault="00E02BB8" w:rsidP="00871217">
            <w:pPr>
              <w:pStyle w:val="NoSpacing"/>
            </w:pPr>
            <w:r w:rsidRPr="00286C20">
              <w:t>1</w:t>
            </w:r>
          </w:p>
        </w:tc>
        <w:tc>
          <w:tcPr>
            <w:tcW w:w="6095" w:type="dxa"/>
            <w:shd w:val="clear" w:color="auto" w:fill="auto"/>
          </w:tcPr>
          <w:p w14:paraId="45D94831" w14:textId="76751B96" w:rsidR="00E02BB8" w:rsidRPr="00A679FE" w:rsidRDefault="00065058" w:rsidP="00C575C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Request phonetic spellings are included at student enrolment</w:t>
            </w:r>
          </w:p>
        </w:tc>
        <w:tc>
          <w:tcPr>
            <w:tcW w:w="1446" w:type="dxa"/>
            <w:shd w:val="clear" w:color="auto" w:fill="auto"/>
          </w:tcPr>
          <w:p w14:paraId="3BB365B4" w14:textId="04D9674F" w:rsidR="00E02BB8" w:rsidRPr="00A679FE" w:rsidRDefault="00065058" w:rsidP="008712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2019</w:t>
            </w:r>
          </w:p>
        </w:tc>
        <w:tc>
          <w:tcPr>
            <w:tcW w:w="1701" w:type="dxa"/>
            <w:shd w:val="clear" w:color="auto" w:fill="auto"/>
          </w:tcPr>
          <w:p w14:paraId="6C51856D" w14:textId="11844364" w:rsidR="00E02BB8" w:rsidRPr="00A679FE" w:rsidRDefault="00065058" w:rsidP="008712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Race Charter – E&amp;D team</w:t>
            </w:r>
          </w:p>
        </w:tc>
      </w:tr>
      <w:tr w:rsidR="00E02BB8" w:rsidRPr="00286C20" w14:paraId="2B04AF0E" w14:textId="77777777" w:rsidTr="00355989">
        <w:tc>
          <w:tcPr>
            <w:tcW w:w="392" w:type="dxa"/>
            <w:shd w:val="clear" w:color="auto" w:fill="auto"/>
          </w:tcPr>
          <w:p w14:paraId="36B58FD4" w14:textId="1C8A855D" w:rsidR="00E02BB8" w:rsidRPr="00286C20" w:rsidRDefault="00C575C4" w:rsidP="00871217">
            <w:pPr>
              <w:pStyle w:val="NoSpacing"/>
            </w:pPr>
            <w:r>
              <w:t>2</w:t>
            </w:r>
          </w:p>
        </w:tc>
        <w:tc>
          <w:tcPr>
            <w:tcW w:w="6095" w:type="dxa"/>
            <w:shd w:val="clear" w:color="auto" w:fill="auto"/>
          </w:tcPr>
          <w:p w14:paraId="6E5B92C0" w14:textId="6894C758" w:rsidR="00E02BB8" w:rsidRPr="00A679FE" w:rsidRDefault="00C575C4" w:rsidP="008712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Confirm </w:t>
            </w:r>
            <w:r w:rsidR="00EE378C">
              <w:rPr>
                <w:rFonts w:asciiTheme="minorHAnsi" w:hAnsiTheme="minorHAnsi" w:cstheme="minorHAnsi"/>
              </w:rPr>
              <w:t>post-graduation</w:t>
            </w:r>
            <w:r w:rsidR="00065058">
              <w:rPr>
                <w:rFonts w:asciiTheme="minorHAnsi" w:hAnsiTheme="minorHAnsi" w:cstheme="minorHAnsi"/>
              </w:rPr>
              <w:t xml:space="preserve"> celebration space and facilities</w:t>
            </w:r>
          </w:p>
        </w:tc>
        <w:tc>
          <w:tcPr>
            <w:tcW w:w="1446" w:type="dxa"/>
            <w:shd w:val="clear" w:color="auto" w:fill="auto"/>
          </w:tcPr>
          <w:p w14:paraId="4A19CEAE" w14:textId="1DC78C70" w:rsidR="00E02BB8" w:rsidRPr="00A679FE" w:rsidRDefault="00C575C4" w:rsidP="008712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 </w:t>
            </w:r>
            <w:r w:rsidR="00065058">
              <w:rPr>
                <w:rFonts w:asciiTheme="minorHAnsi" w:hAnsiTheme="minorHAnsi" w:cstheme="minorHAnsi"/>
              </w:rPr>
              <w:t>May</w:t>
            </w:r>
            <w:r>
              <w:rPr>
                <w:rFonts w:asciiTheme="minorHAnsi" w:hAnsiTheme="minorHAnsi" w:cstheme="minorHAnsi"/>
              </w:rPr>
              <w:t xml:space="preserve"> 2019</w:t>
            </w:r>
          </w:p>
        </w:tc>
        <w:tc>
          <w:tcPr>
            <w:tcW w:w="1701" w:type="dxa"/>
            <w:shd w:val="clear" w:color="auto" w:fill="auto"/>
          </w:tcPr>
          <w:p w14:paraId="5B1AB7A9" w14:textId="17807739" w:rsidR="00E02BB8" w:rsidRPr="00A679FE" w:rsidRDefault="00C575C4" w:rsidP="008712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 team</w:t>
            </w:r>
          </w:p>
        </w:tc>
      </w:tr>
      <w:tr w:rsidR="00CE70B3" w:rsidRPr="00286C20" w14:paraId="36789E46" w14:textId="77777777" w:rsidTr="00355989">
        <w:tc>
          <w:tcPr>
            <w:tcW w:w="392" w:type="dxa"/>
            <w:shd w:val="clear" w:color="auto" w:fill="auto"/>
          </w:tcPr>
          <w:p w14:paraId="655F5061" w14:textId="1D5426B9" w:rsidR="00CE70B3" w:rsidRDefault="00CE70B3" w:rsidP="00CE70B3">
            <w:pPr>
              <w:pStyle w:val="NoSpacing"/>
            </w:pPr>
            <w:r>
              <w:t>3</w:t>
            </w:r>
          </w:p>
        </w:tc>
        <w:tc>
          <w:tcPr>
            <w:tcW w:w="6095" w:type="dxa"/>
            <w:shd w:val="clear" w:color="auto" w:fill="auto"/>
          </w:tcPr>
          <w:p w14:paraId="149B801E" w14:textId="1ED1B967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Hearing Loop provision in Arena is tested ahead of ceremonies</w:t>
            </w:r>
          </w:p>
        </w:tc>
        <w:tc>
          <w:tcPr>
            <w:tcW w:w="1446" w:type="dxa"/>
            <w:shd w:val="clear" w:color="auto" w:fill="auto"/>
          </w:tcPr>
          <w:p w14:paraId="2C8EC170" w14:textId="0EF8F8BF" w:rsidR="00CE70B3" w:rsidRDefault="007C2BCA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2019</w:t>
            </w:r>
          </w:p>
        </w:tc>
        <w:tc>
          <w:tcPr>
            <w:tcW w:w="1701" w:type="dxa"/>
            <w:shd w:val="clear" w:color="auto" w:fill="auto"/>
          </w:tcPr>
          <w:p w14:paraId="7B9FA48D" w14:textId="6841D364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 team</w:t>
            </w:r>
          </w:p>
        </w:tc>
      </w:tr>
      <w:tr w:rsidR="00CE70B3" w:rsidRPr="00286C20" w14:paraId="7DA29F97" w14:textId="77777777" w:rsidTr="00355989">
        <w:tc>
          <w:tcPr>
            <w:tcW w:w="392" w:type="dxa"/>
            <w:shd w:val="clear" w:color="auto" w:fill="auto"/>
          </w:tcPr>
          <w:p w14:paraId="1740E391" w14:textId="405E574E" w:rsidR="00CE70B3" w:rsidRDefault="00CE70B3" w:rsidP="00CE70B3">
            <w:pPr>
              <w:pStyle w:val="NoSpacing"/>
            </w:pPr>
            <w:r>
              <w:t>4</w:t>
            </w:r>
          </w:p>
        </w:tc>
        <w:tc>
          <w:tcPr>
            <w:tcW w:w="6095" w:type="dxa"/>
            <w:shd w:val="clear" w:color="auto" w:fill="auto"/>
          </w:tcPr>
          <w:p w14:paraId="2F66E5FA" w14:textId="2296CA4D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Signpost information around reasonable adjustment for staff well ahead of the ceremony date and review whether this can be made more visible earlier in the process</w:t>
            </w:r>
          </w:p>
        </w:tc>
        <w:tc>
          <w:tcPr>
            <w:tcW w:w="1446" w:type="dxa"/>
            <w:shd w:val="clear" w:color="auto" w:fill="auto"/>
          </w:tcPr>
          <w:p w14:paraId="1991796B" w14:textId="2AD73A6C" w:rsidR="00CE70B3" w:rsidRDefault="007C2BCA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1701" w:type="dxa"/>
            <w:shd w:val="clear" w:color="auto" w:fill="auto"/>
          </w:tcPr>
          <w:p w14:paraId="7CEBD04A" w14:textId="0B42FD3A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 team</w:t>
            </w:r>
          </w:p>
        </w:tc>
      </w:tr>
      <w:tr w:rsidR="00CE70B3" w:rsidRPr="00286C20" w14:paraId="5FC1AD99" w14:textId="77777777" w:rsidTr="00355989">
        <w:tc>
          <w:tcPr>
            <w:tcW w:w="392" w:type="dxa"/>
            <w:shd w:val="clear" w:color="auto" w:fill="auto"/>
          </w:tcPr>
          <w:p w14:paraId="0893D14E" w14:textId="7E482BD7" w:rsidR="00CE70B3" w:rsidRDefault="00CE70B3" w:rsidP="00CE70B3">
            <w:pPr>
              <w:pStyle w:val="NoSpacing"/>
            </w:pPr>
            <w:bookmarkStart w:id="2" w:name="_Hlk11236468"/>
            <w:r>
              <w:t>5</w:t>
            </w:r>
          </w:p>
        </w:tc>
        <w:tc>
          <w:tcPr>
            <w:tcW w:w="6095" w:type="dxa"/>
            <w:shd w:val="clear" w:color="auto" w:fill="auto"/>
          </w:tcPr>
          <w:p w14:paraId="3AC68C91" w14:textId="77777777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Reflect the operational/cost requirements for timing of ceremonies within the EIA narrative as the early ceremonies have the potential to disproportionately impact:</w:t>
            </w:r>
          </w:p>
          <w:p w14:paraId="4464921B" w14:textId="07B9993C" w:rsidR="00CE70B3" w:rsidRPr="00CE70B3" w:rsidRDefault="00CE70B3" w:rsidP="00CE70B3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E70B3">
              <w:rPr>
                <w:sz w:val="24"/>
                <w:szCs w:val="24"/>
              </w:rPr>
              <w:t>those with caring responsibilities and/or childcare considerations</w:t>
            </w:r>
          </w:p>
          <w:p w14:paraId="76384359" w14:textId="1ED7BFE0" w:rsidR="00CE70B3" w:rsidRPr="00CE70B3" w:rsidRDefault="00CE70B3" w:rsidP="00CE70B3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CE70B3">
              <w:rPr>
                <w:sz w:val="24"/>
                <w:szCs w:val="24"/>
              </w:rPr>
              <w:t>those in lower income households where an overnight stay may be required to get here in time</w:t>
            </w:r>
          </w:p>
          <w:p w14:paraId="29D1443A" w14:textId="6E0B590F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auto"/>
          </w:tcPr>
          <w:p w14:paraId="5C3322F6" w14:textId="4F98BDD4" w:rsidR="00CE70B3" w:rsidRDefault="007C2BCA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Include for 2020</w:t>
            </w:r>
          </w:p>
        </w:tc>
        <w:tc>
          <w:tcPr>
            <w:tcW w:w="1701" w:type="dxa"/>
            <w:shd w:val="clear" w:color="auto" w:fill="auto"/>
          </w:tcPr>
          <w:p w14:paraId="30D1128E" w14:textId="0D129FFF" w:rsidR="00CE70B3" w:rsidRDefault="00CE70B3" w:rsidP="00CE70B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 team</w:t>
            </w:r>
          </w:p>
        </w:tc>
      </w:tr>
      <w:bookmarkEnd w:id="2"/>
      <w:tr w:rsidR="007C2BCA" w:rsidRPr="00286C20" w14:paraId="31CCEAB0" w14:textId="77777777" w:rsidTr="00355989">
        <w:tc>
          <w:tcPr>
            <w:tcW w:w="392" w:type="dxa"/>
            <w:shd w:val="clear" w:color="auto" w:fill="auto"/>
          </w:tcPr>
          <w:p w14:paraId="22374934" w14:textId="31C6D583" w:rsidR="007C2BCA" w:rsidRDefault="007C2BCA" w:rsidP="007C2BCA">
            <w:pPr>
              <w:pStyle w:val="NoSpacing"/>
            </w:pPr>
            <w:r>
              <w:t>6</w:t>
            </w:r>
          </w:p>
        </w:tc>
        <w:tc>
          <w:tcPr>
            <w:tcW w:w="6095" w:type="dxa"/>
            <w:shd w:val="clear" w:color="auto" w:fill="auto"/>
          </w:tcPr>
          <w:p w14:paraId="3E001A5F" w14:textId="5D12BA42" w:rsidR="007C2BCA" w:rsidRDefault="007C2BCA" w:rsidP="007C2BCA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the graduation scripts with Marketing colleagues for any references which might be culturally sensitive or reinforce existing stereotypes</w:t>
            </w:r>
          </w:p>
        </w:tc>
        <w:tc>
          <w:tcPr>
            <w:tcW w:w="1446" w:type="dxa"/>
            <w:shd w:val="clear" w:color="auto" w:fill="auto"/>
          </w:tcPr>
          <w:p w14:paraId="2500771F" w14:textId="26BFD78C" w:rsidR="007C2BCA" w:rsidRDefault="007C2BCA" w:rsidP="007C2BCA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2019</w:t>
            </w:r>
          </w:p>
        </w:tc>
        <w:tc>
          <w:tcPr>
            <w:tcW w:w="1701" w:type="dxa"/>
            <w:shd w:val="clear" w:color="auto" w:fill="auto"/>
          </w:tcPr>
          <w:p w14:paraId="327F6FAE" w14:textId="77777777" w:rsidR="007C2BCA" w:rsidRDefault="007C2BCA" w:rsidP="007C2BCA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 team</w:t>
            </w:r>
          </w:p>
          <w:p w14:paraId="6532B114" w14:textId="77777777" w:rsidR="00824B6D" w:rsidRDefault="00824B6D" w:rsidP="007C2BCA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Comms team</w:t>
            </w:r>
          </w:p>
          <w:p w14:paraId="1DE6941D" w14:textId="5077E06F" w:rsidR="00824B6D" w:rsidRDefault="00824B6D" w:rsidP="007C2BCA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UET</w:t>
            </w:r>
          </w:p>
        </w:tc>
      </w:tr>
    </w:tbl>
    <w:p w14:paraId="7D009BB5" w14:textId="1E90B01D" w:rsidR="00E02BB8" w:rsidRDefault="00E02BB8" w:rsidP="00A03858">
      <w:pPr>
        <w:pStyle w:val="NoSpacing"/>
      </w:pPr>
    </w:p>
    <w:sectPr w:rsidR="00E02BB8" w:rsidSect="0078237D">
      <w:headerReference w:type="default" r:id="rId8"/>
      <w:footerReference w:type="default" r:id="rId9"/>
      <w:pgSz w:w="11906" w:h="16838"/>
      <w:pgMar w:top="963" w:right="1440" w:bottom="851" w:left="1440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20BD" w14:textId="77777777" w:rsidR="00A60ABB" w:rsidRDefault="00A60ABB" w:rsidP="00DD2995">
      <w:pPr>
        <w:spacing w:after="0" w:line="240" w:lineRule="auto"/>
      </w:pPr>
      <w:r>
        <w:separator/>
      </w:r>
    </w:p>
  </w:endnote>
  <w:endnote w:type="continuationSeparator" w:id="0">
    <w:p w14:paraId="12BB7976" w14:textId="77777777" w:rsidR="00A60ABB" w:rsidRDefault="00A60ABB" w:rsidP="00DD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14BE" w14:textId="77777777" w:rsidR="00330AB5" w:rsidRPr="0078237D" w:rsidRDefault="00330AB5" w:rsidP="0078237D">
    <w:pPr>
      <w:pStyle w:val="Footer"/>
      <w:jc w:val="center"/>
      <w:rPr>
        <w:b/>
        <w:i/>
      </w:rPr>
    </w:pPr>
    <w:r>
      <w:rPr>
        <w:b/>
        <w:i/>
      </w:rPr>
      <w:t>This</w:t>
    </w:r>
    <w:r w:rsidRPr="0078237D">
      <w:rPr>
        <w:b/>
        <w:i/>
      </w:rPr>
      <w:t xml:space="preserve"> impact assessment will be a</w:t>
    </w:r>
    <w:r w:rsidR="001E13DC">
      <w:rPr>
        <w:b/>
        <w:i/>
      </w:rPr>
      <w:t>vailable at eqia.leedsbeckett</w:t>
    </w:r>
    <w:r>
      <w:rPr>
        <w:b/>
        <w:i/>
      </w:rPr>
      <w:t>.ac.uk.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BD1B6" w14:textId="77777777" w:rsidR="00A60ABB" w:rsidRDefault="00A60ABB" w:rsidP="00DD2995">
      <w:pPr>
        <w:spacing w:after="0" w:line="240" w:lineRule="auto"/>
      </w:pPr>
      <w:r>
        <w:separator/>
      </w:r>
    </w:p>
  </w:footnote>
  <w:footnote w:type="continuationSeparator" w:id="0">
    <w:p w14:paraId="24A4E0BF" w14:textId="77777777" w:rsidR="00A60ABB" w:rsidRDefault="00A60ABB" w:rsidP="00DD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FAE3A" w14:textId="77777777" w:rsidR="00330AB5" w:rsidRPr="00DD2995" w:rsidRDefault="00330AB5" w:rsidP="0078237D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Leeds </w:t>
    </w:r>
    <w:r w:rsidR="001E13DC">
      <w:rPr>
        <w:b/>
        <w:sz w:val="28"/>
        <w:szCs w:val="28"/>
      </w:rPr>
      <w:t>Beckett</w:t>
    </w:r>
    <w:r>
      <w:rPr>
        <w:b/>
        <w:sz w:val="28"/>
        <w:szCs w:val="28"/>
      </w:rPr>
      <w:t xml:space="preserve"> University - </w:t>
    </w:r>
    <w:r w:rsidRPr="00DD2995">
      <w:rPr>
        <w:b/>
        <w:sz w:val="28"/>
        <w:szCs w:val="28"/>
      </w:rPr>
      <w:t>Equality Impact Assessment</w:t>
    </w:r>
    <w:r>
      <w:rPr>
        <w:b/>
        <w:sz w:val="28"/>
        <w:szCs w:val="28"/>
      </w:rPr>
      <w:t xml:space="preserve">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5F1"/>
    <w:multiLevelType w:val="hybridMultilevel"/>
    <w:tmpl w:val="7BA4B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17B2E"/>
    <w:multiLevelType w:val="hybridMultilevel"/>
    <w:tmpl w:val="A9B4C9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1C24"/>
    <w:multiLevelType w:val="hybridMultilevel"/>
    <w:tmpl w:val="1D8012D6"/>
    <w:lvl w:ilvl="0" w:tplc="17C8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805BE"/>
    <w:multiLevelType w:val="hybridMultilevel"/>
    <w:tmpl w:val="A0F08E40"/>
    <w:lvl w:ilvl="0" w:tplc="F9A4AA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C0634"/>
    <w:multiLevelType w:val="hybridMultilevel"/>
    <w:tmpl w:val="72F23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1117B8"/>
    <w:multiLevelType w:val="hybridMultilevel"/>
    <w:tmpl w:val="2B18B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5B75"/>
    <w:multiLevelType w:val="hybridMultilevel"/>
    <w:tmpl w:val="C442C730"/>
    <w:lvl w:ilvl="0" w:tplc="1F5A1D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9C141C"/>
    <w:multiLevelType w:val="hybridMultilevel"/>
    <w:tmpl w:val="8EF25154"/>
    <w:lvl w:ilvl="0" w:tplc="688C53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A14CA"/>
    <w:multiLevelType w:val="hybridMultilevel"/>
    <w:tmpl w:val="A358E25A"/>
    <w:lvl w:ilvl="0" w:tplc="2404089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FF0B68"/>
    <w:multiLevelType w:val="hybridMultilevel"/>
    <w:tmpl w:val="659EE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2C1"/>
    <w:multiLevelType w:val="hybridMultilevel"/>
    <w:tmpl w:val="659EE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80880"/>
    <w:multiLevelType w:val="hybridMultilevel"/>
    <w:tmpl w:val="DB1E96AA"/>
    <w:lvl w:ilvl="0" w:tplc="9E1AD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A424E"/>
    <w:multiLevelType w:val="hybridMultilevel"/>
    <w:tmpl w:val="C0A0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74EC6"/>
    <w:multiLevelType w:val="hybridMultilevel"/>
    <w:tmpl w:val="33F0D9B2"/>
    <w:lvl w:ilvl="0" w:tplc="F1DE70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2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22"/>
    <w:rsid w:val="00040AAC"/>
    <w:rsid w:val="000644B6"/>
    <w:rsid w:val="00065058"/>
    <w:rsid w:val="000942B2"/>
    <w:rsid w:val="000A5EEE"/>
    <w:rsid w:val="000B4DFD"/>
    <w:rsid w:val="00124125"/>
    <w:rsid w:val="00124BAC"/>
    <w:rsid w:val="0016726B"/>
    <w:rsid w:val="00167329"/>
    <w:rsid w:val="00186BCF"/>
    <w:rsid w:val="001A5960"/>
    <w:rsid w:val="001B2A66"/>
    <w:rsid w:val="001B592B"/>
    <w:rsid w:val="001C6E95"/>
    <w:rsid w:val="001D4777"/>
    <w:rsid w:val="001E13DC"/>
    <w:rsid w:val="001F55AA"/>
    <w:rsid w:val="0022075B"/>
    <w:rsid w:val="002255AA"/>
    <w:rsid w:val="00244D3A"/>
    <w:rsid w:val="00246B57"/>
    <w:rsid w:val="00263225"/>
    <w:rsid w:val="00275779"/>
    <w:rsid w:val="00286C20"/>
    <w:rsid w:val="002A0AD5"/>
    <w:rsid w:val="002A2890"/>
    <w:rsid w:val="0031712D"/>
    <w:rsid w:val="00330AB5"/>
    <w:rsid w:val="00336AFA"/>
    <w:rsid w:val="003425C2"/>
    <w:rsid w:val="00355989"/>
    <w:rsid w:val="0036319D"/>
    <w:rsid w:val="00385096"/>
    <w:rsid w:val="003A6D5C"/>
    <w:rsid w:val="003B6160"/>
    <w:rsid w:val="003D5122"/>
    <w:rsid w:val="003D5A87"/>
    <w:rsid w:val="003E6EB8"/>
    <w:rsid w:val="003F10EB"/>
    <w:rsid w:val="00400680"/>
    <w:rsid w:val="0040229C"/>
    <w:rsid w:val="00404793"/>
    <w:rsid w:val="0042165B"/>
    <w:rsid w:val="00430796"/>
    <w:rsid w:val="00440F58"/>
    <w:rsid w:val="00485B8F"/>
    <w:rsid w:val="004B727B"/>
    <w:rsid w:val="004F18C1"/>
    <w:rsid w:val="005169E5"/>
    <w:rsid w:val="00567A6E"/>
    <w:rsid w:val="00591ACD"/>
    <w:rsid w:val="005A1135"/>
    <w:rsid w:val="00605B4D"/>
    <w:rsid w:val="006515B3"/>
    <w:rsid w:val="00654DC5"/>
    <w:rsid w:val="006655EE"/>
    <w:rsid w:val="006F4373"/>
    <w:rsid w:val="0070219D"/>
    <w:rsid w:val="00723E68"/>
    <w:rsid w:val="00727DBE"/>
    <w:rsid w:val="007709DC"/>
    <w:rsid w:val="0078237D"/>
    <w:rsid w:val="007A44CC"/>
    <w:rsid w:val="007C2BCA"/>
    <w:rsid w:val="007E277F"/>
    <w:rsid w:val="0080220E"/>
    <w:rsid w:val="00824B6D"/>
    <w:rsid w:val="00860F83"/>
    <w:rsid w:val="00871217"/>
    <w:rsid w:val="008E11C6"/>
    <w:rsid w:val="00901C31"/>
    <w:rsid w:val="00931EC4"/>
    <w:rsid w:val="00935C75"/>
    <w:rsid w:val="009561E3"/>
    <w:rsid w:val="00996B01"/>
    <w:rsid w:val="009C0FE5"/>
    <w:rsid w:val="00A03858"/>
    <w:rsid w:val="00A2006E"/>
    <w:rsid w:val="00A279AA"/>
    <w:rsid w:val="00A400E6"/>
    <w:rsid w:val="00A455C6"/>
    <w:rsid w:val="00A60ABB"/>
    <w:rsid w:val="00A679FE"/>
    <w:rsid w:val="00A96C65"/>
    <w:rsid w:val="00AA2E08"/>
    <w:rsid w:val="00AE375D"/>
    <w:rsid w:val="00B00F56"/>
    <w:rsid w:val="00B0706B"/>
    <w:rsid w:val="00B13A68"/>
    <w:rsid w:val="00B14E6F"/>
    <w:rsid w:val="00B2353E"/>
    <w:rsid w:val="00B61DBF"/>
    <w:rsid w:val="00B62D39"/>
    <w:rsid w:val="00B6496D"/>
    <w:rsid w:val="00B82F4B"/>
    <w:rsid w:val="00B93E8B"/>
    <w:rsid w:val="00BA66EB"/>
    <w:rsid w:val="00BB4920"/>
    <w:rsid w:val="00BC0266"/>
    <w:rsid w:val="00BD29F6"/>
    <w:rsid w:val="00C101B9"/>
    <w:rsid w:val="00C10A73"/>
    <w:rsid w:val="00C330AA"/>
    <w:rsid w:val="00C575C4"/>
    <w:rsid w:val="00C741EB"/>
    <w:rsid w:val="00CA4A65"/>
    <w:rsid w:val="00CB08E2"/>
    <w:rsid w:val="00CC0977"/>
    <w:rsid w:val="00CC1C86"/>
    <w:rsid w:val="00CC66FB"/>
    <w:rsid w:val="00CD4A51"/>
    <w:rsid w:val="00CE70B3"/>
    <w:rsid w:val="00D74787"/>
    <w:rsid w:val="00D80258"/>
    <w:rsid w:val="00D904D3"/>
    <w:rsid w:val="00D97268"/>
    <w:rsid w:val="00DC3EF2"/>
    <w:rsid w:val="00DD2995"/>
    <w:rsid w:val="00DD56E9"/>
    <w:rsid w:val="00DD74C5"/>
    <w:rsid w:val="00E00CFB"/>
    <w:rsid w:val="00E0224B"/>
    <w:rsid w:val="00E02BB8"/>
    <w:rsid w:val="00E145EB"/>
    <w:rsid w:val="00E4249B"/>
    <w:rsid w:val="00E62CB1"/>
    <w:rsid w:val="00E72BE2"/>
    <w:rsid w:val="00E90045"/>
    <w:rsid w:val="00EC7AA0"/>
    <w:rsid w:val="00ED4D58"/>
    <w:rsid w:val="00EE378C"/>
    <w:rsid w:val="00F049A4"/>
    <w:rsid w:val="00F17C01"/>
    <w:rsid w:val="00F2602A"/>
    <w:rsid w:val="00F57A78"/>
    <w:rsid w:val="00F71613"/>
    <w:rsid w:val="00FA272C"/>
    <w:rsid w:val="00FB718A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61D3"/>
  <w15:chartTrackingRefBased/>
  <w15:docId w15:val="{62967945-D54E-48B7-A3F9-54C1138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272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D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95"/>
  </w:style>
  <w:style w:type="paragraph" w:styleId="Footer">
    <w:name w:val="footer"/>
    <w:basedOn w:val="Normal"/>
    <w:link w:val="FooterChar"/>
    <w:uiPriority w:val="99"/>
    <w:unhideWhenUsed/>
    <w:rsid w:val="00DD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95"/>
  </w:style>
  <w:style w:type="paragraph" w:styleId="ListParagraph">
    <w:name w:val="List Paragraph"/>
    <w:basedOn w:val="Normal"/>
    <w:uiPriority w:val="34"/>
    <w:qFormat/>
    <w:rsid w:val="004F18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3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1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1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1BDB-0481-4178-B9C5-F10C1F85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1325</Words>
  <Characters>7557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beacha01</dc:creator>
  <cp:keywords/>
  <cp:lastModifiedBy>Tilbrook, Katrina S</cp:lastModifiedBy>
  <cp:revision>2</cp:revision>
  <cp:lastPrinted>2018-08-30T09:41:00Z</cp:lastPrinted>
  <dcterms:created xsi:type="dcterms:W3CDTF">2019-06-14T07:34:00Z</dcterms:created>
  <dcterms:modified xsi:type="dcterms:W3CDTF">2019-06-14T07:34:00Z</dcterms:modified>
</cp:coreProperties>
</file>