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F0" w:rsidRPr="001B66F1" w:rsidRDefault="004F072A">
      <w:pPr>
        <w:rPr>
          <w:rFonts w:cs="Arial"/>
          <w:color w:val="FFFFFF" w:themeColor="background1"/>
          <w:sz w:val="36"/>
          <w:szCs w:val="36"/>
        </w:rPr>
      </w:pPr>
      <w:r>
        <w:rPr>
          <w:rFonts w:cs="Arial"/>
          <w:color w:val="FFFFFF" w:themeColor="background1"/>
          <w:sz w:val="36"/>
          <w:szCs w:val="36"/>
        </w:rPr>
        <w:t>LEEDS BECKETT UNIVERSITY</w:t>
      </w:r>
    </w:p>
    <w:p w:rsidR="001B66F1" w:rsidRPr="001B66F1" w:rsidRDefault="004F072A" w:rsidP="001B66F1">
      <w:pPr>
        <w:spacing w:line="240" w:lineRule="auto"/>
        <w:rPr>
          <w:rFonts w:cs="Arial"/>
          <w:b/>
          <w:color w:val="FFFFFF" w:themeColor="background1"/>
          <w:sz w:val="96"/>
          <w:szCs w:val="96"/>
        </w:rPr>
      </w:pPr>
      <w:r>
        <w:rPr>
          <w:rFonts w:cs="Arial"/>
          <w:b/>
          <w:color w:val="FFFFFF" w:themeColor="background1"/>
          <w:sz w:val="96"/>
          <w:szCs w:val="96"/>
        </w:rPr>
        <w:t>Gender Pay Gap Report</w:t>
      </w:r>
    </w:p>
    <w:p w:rsidR="001B66F1" w:rsidRDefault="004F072A" w:rsidP="001B66F1">
      <w:pPr>
        <w:spacing w:line="240" w:lineRule="auto"/>
        <w:rPr>
          <w:rFonts w:cs="Arial"/>
          <w:color w:val="FFFFFF" w:themeColor="background1"/>
          <w:sz w:val="40"/>
          <w:szCs w:val="40"/>
        </w:rPr>
      </w:pPr>
      <w:r>
        <w:rPr>
          <w:rFonts w:cs="Arial"/>
          <w:color w:val="FFFFFF" w:themeColor="background1"/>
          <w:sz w:val="52"/>
          <w:szCs w:val="52"/>
        </w:rPr>
        <w:t>2017</w:t>
      </w:r>
      <w:r w:rsidR="001B66F1">
        <w:rPr>
          <w:rFonts w:cs="Arial"/>
          <w:b/>
          <w:color w:val="FFFFFF" w:themeColor="background1"/>
          <w:sz w:val="52"/>
          <w:szCs w:val="52"/>
        </w:rPr>
        <w:br/>
      </w:r>
      <w:r w:rsidR="001B66F1">
        <w:rPr>
          <w:rFonts w:cs="Arial"/>
          <w:b/>
          <w:color w:val="FFFFFF" w:themeColor="background1"/>
          <w:sz w:val="52"/>
          <w:szCs w:val="52"/>
        </w:rPr>
        <w:br/>
      </w:r>
      <w:r>
        <w:rPr>
          <w:rFonts w:cs="Arial"/>
          <w:color w:val="FFFFFF" w:themeColor="background1"/>
          <w:sz w:val="40"/>
          <w:szCs w:val="40"/>
        </w:rPr>
        <w:t>www.leedsbeckett.ac.uk</w:t>
      </w:r>
    </w:p>
    <w:p w:rsidR="001B66F1" w:rsidRDefault="001B66F1">
      <w:pPr>
        <w:rPr>
          <w:rFonts w:cs="Arial"/>
          <w:color w:val="FFFFFF" w:themeColor="background1"/>
          <w:sz w:val="40"/>
          <w:szCs w:val="40"/>
        </w:rPr>
      </w:pPr>
      <w:r>
        <w:rPr>
          <w:rFonts w:cs="Arial"/>
          <w:color w:val="FFFFFF" w:themeColor="background1"/>
          <w:sz w:val="40"/>
          <w:szCs w:val="40"/>
        </w:rPr>
        <w:br w:type="page"/>
      </w:r>
    </w:p>
    <w:p w:rsidR="006E027E" w:rsidRDefault="006E027E" w:rsidP="006E027E">
      <w:pPr>
        <w:pStyle w:val="Title"/>
      </w:pPr>
      <w:r>
        <w:t>CONTENTS PAGE</w:t>
      </w:r>
    </w:p>
    <w:sdt>
      <w:sdtPr>
        <w:rPr>
          <w:rFonts w:ascii="Arial" w:eastAsiaTheme="minorHAnsi" w:hAnsi="Arial" w:cstheme="minorBidi"/>
          <w:b w:val="0"/>
          <w:bCs w:val="0"/>
          <w:color w:val="191919"/>
          <w:sz w:val="22"/>
          <w:szCs w:val="22"/>
          <w:lang w:val="en-GB"/>
        </w:rPr>
        <w:id w:val="2116987"/>
        <w:docPartObj>
          <w:docPartGallery w:val="Table of Contents"/>
          <w:docPartUnique/>
        </w:docPartObj>
      </w:sdtPr>
      <w:sdtEndPr/>
      <w:sdtContent>
        <w:p w:rsidR="00426361" w:rsidRDefault="00426361">
          <w:pPr>
            <w:pStyle w:val="TOCHeading"/>
          </w:pPr>
        </w:p>
        <w:p w:rsidR="00AA0833" w:rsidRDefault="00E7359F">
          <w:pPr>
            <w:pStyle w:val="TOC1"/>
            <w:tabs>
              <w:tab w:val="right" w:leader="dot" w:pos="9016"/>
            </w:tabs>
            <w:rPr>
              <w:rFonts w:asciiTheme="minorHAnsi" w:eastAsiaTheme="minorEastAsia" w:hAnsiTheme="minorHAnsi"/>
              <w:noProof/>
              <w:color w:val="auto"/>
              <w:lang w:eastAsia="en-GB"/>
            </w:rPr>
          </w:pPr>
          <w:r>
            <w:fldChar w:fldCharType="begin"/>
          </w:r>
          <w:r w:rsidR="00426361">
            <w:instrText xml:space="preserve"> TOC \o "1-3" \h \z \u </w:instrText>
          </w:r>
          <w:r>
            <w:fldChar w:fldCharType="separate"/>
          </w:r>
          <w:hyperlink w:anchor="_Toc503255734" w:history="1">
            <w:r w:rsidR="00AA0833" w:rsidRPr="00906573">
              <w:rPr>
                <w:rStyle w:val="Hyperlink"/>
                <w:noProof/>
              </w:rPr>
              <w:t>Introduction</w:t>
            </w:r>
            <w:r w:rsidR="00AA0833">
              <w:rPr>
                <w:noProof/>
                <w:webHidden/>
              </w:rPr>
              <w:tab/>
            </w:r>
            <w:r w:rsidR="00AA0833">
              <w:rPr>
                <w:noProof/>
                <w:webHidden/>
              </w:rPr>
              <w:fldChar w:fldCharType="begin"/>
            </w:r>
            <w:r w:rsidR="00AA0833">
              <w:rPr>
                <w:noProof/>
                <w:webHidden/>
              </w:rPr>
              <w:instrText xml:space="preserve"> PAGEREF _Toc503255734 \h </w:instrText>
            </w:r>
            <w:r w:rsidR="00AA0833">
              <w:rPr>
                <w:noProof/>
                <w:webHidden/>
              </w:rPr>
            </w:r>
            <w:r w:rsidR="00AA0833">
              <w:rPr>
                <w:noProof/>
                <w:webHidden/>
              </w:rPr>
              <w:fldChar w:fldCharType="separate"/>
            </w:r>
            <w:r w:rsidR="00AA0833">
              <w:rPr>
                <w:noProof/>
                <w:webHidden/>
              </w:rPr>
              <w:t>3</w:t>
            </w:r>
            <w:r w:rsidR="00AA0833">
              <w:rPr>
                <w:noProof/>
                <w:webHidden/>
              </w:rPr>
              <w:fldChar w:fldCharType="end"/>
            </w:r>
          </w:hyperlink>
        </w:p>
        <w:p w:rsidR="00AA0833" w:rsidRDefault="00A73141">
          <w:pPr>
            <w:pStyle w:val="TOC1"/>
            <w:tabs>
              <w:tab w:val="right" w:leader="dot" w:pos="9016"/>
            </w:tabs>
            <w:rPr>
              <w:rFonts w:asciiTheme="minorHAnsi" w:eastAsiaTheme="minorEastAsia" w:hAnsiTheme="minorHAnsi"/>
              <w:noProof/>
              <w:color w:val="auto"/>
              <w:lang w:eastAsia="en-GB"/>
            </w:rPr>
          </w:pPr>
          <w:hyperlink w:anchor="_Toc503255735" w:history="1">
            <w:r w:rsidR="00AA0833" w:rsidRPr="00906573">
              <w:rPr>
                <w:rStyle w:val="Hyperlink"/>
                <w:noProof/>
              </w:rPr>
              <w:t>Gender Pay Gap Data</w:t>
            </w:r>
            <w:r w:rsidR="00AA0833">
              <w:rPr>
                <w:noProof/>
                <w:webHidden/>
              </w:rPr>
              <w:tab/>
            </w:r>
            <w:r w:rsidR="00AA0833">
              <w:rPr>
                <w:noProof/>
                <w:webHidden/>
              </w:rPr>
              <w:fldChar w:fldCharType="begin"/>
            </w:r>
            <w:r w:rsidR="00AA0833">
              <w:rPr>
                <w:noProof/>
                <w:webHidden/>
              </w:rPr>
              <w:instrText xml:space="preserve"> PAGEREF _Toc503255735 \h </w:instrText>
            </w:r>
            <w:r w:rsidR="00AA0833">
              <w:rPr>
                <w:noProof/>
                <w:webHidden/>
              </w:rPr>
            </w:r>
            <w:r w:rsidR="00AA0833">
              <w:rPr>
                <w:noProof/>
                <w:webHidden/>
              </w:rPr>
              <w:fldChar w:fldCharType="separate"/>
            </w:r>
            <w:r w:rsidR="00AA0833">
              <w:rPr>
                <w:noProof/>
                <w:webHidden/>
              </w:rPr>
              <w:t>4</w:t>
            </w:r>
            <w:r w:rsidR="00AA0833">
              <w:rPr>
                <w:noProof/>
                <w:webHidden/>
              </w:rPr>
              <w:fldChar w:fldCharType="end"/>
            </w:r>
          </w:hyperlink>
        </w:p>
        <w:p w:rsidR="00AA0833" w:rsidRDefault="00A73141">
          <w:pPr>
            <w:pStyle w:val="TOC2"/>
            <w:tabs>
              <w:tab w:val="right" w:leader="dot" w:pos="9016"/>
            </w:tabs>
            <w:rPr>
              <w:rFonts w:asciiTheme="minorHAnsi" w:eastAsiaTheme="minorEastAsia" w:hAnsiTheme="minorHAnsi"/>
              <w:noProof/>
              <w:color w:val="auto"/>
              <w:lang w:eastAsia="en-GB"/>
            </w:rPr>
          </w:pPr>
          <w:hyperlink w:anchor="_Toc503255736" w:history="1">
            <w:r w:rsidR="00AA0833" w:rsidRPr="00906573">
              <w:rPr>
                <w:rStyle w:val="Hyperlink"/>
                <w:noProof/>
              </w:rPr>
              <w:t>Mean Gender Pay Gap</w:t>
            </w:r>
            <w:r w:rsidR="00AA0833">
              <w:rPr>
                <w:noProof/>
                <w:webHidden/>
              </w:rPr>
              <w:tab/>
            </w:r>
            <w:r w:rsidR="00AA0833">
              <w:rPr>
                <w:noProof/>
                <w:webHidden/>
              </w:rPr>
              <w:fldChar w:fldCharType="begin"/>
            </w:r>
            <w:r w:rsidR="00AA0833">
              <w:rPr>
                <w:noProof/>
                <w:webHidden/>
              </w:rPr>
              <w:instrText xml:space="preserve"> PAGEREF _Toc503255736 \h </w:instrText>
            </w:r>
            <w:r w:rsidR="00AA0833">
              <w:rPr>
                <w:noProof/>
                <w:webHidden/>
              </w:rPr>
            </w:r>
            <w:r w:rsidR="00AA0833">
              <w:rPr>
                <w:noProof/>
                <w:webHidden/>
              </w:rPr>
              <w:fldChar w:fldCharType="separate"/>
            </w:r>
            <w:r w:rsidR="00AA0833">
              <w:rPr>
                <w:noProof/>
                <w:webHidden/>
              </w:rPr>
              <w:t>4</w:t>
            </w:r>
            <w:r w:rsidR="00AA0833">
              <w:rPr>
                <w:noProof/>
                <w:webHidden/>
              </w:rPr>
              <w:fldChar w:fldCharType="end"/>
            </w:r>
          </w:hyperlink>
        </w:p>
        <w:p w:rsidR="00AA0833" w:rsidRDefault="00A73141">
          <w:pPr>
            <w:pStyle w:val="TOC2"/>
            <w:tabs>
              <w:tab w:val="right" w:leader="dot" w:pos="9016"/>
            </w:tabs>
            <w:rPr>
              <w:rFonts w:asciiTheme="minorHAnsi" w:eastAsiaTheme="minorEastAsia" w:hAnsiTheme="minorHAnsi"/>
              <w:noProof/>
              <w:color w:val="auto"/>
              <w:lang w:eastAsia="en-GB"/>
            </w:rPr>
          </w:pPr>
          <w:hyperlink w:anchor="_Toc503255737" w:history="1">
            <w:r w:rsidR="00AA0833" w:rsidRPr="00906573">
              <w:rPr>
                <w:rStyle w:val="Hyperlink"/>
                <w:noProof/>
              </w:rPr>
              <w:t>Median Gender Pay Gap</w:t>
            </w:r>
            <w:r w:rsidR="00AA0833">
              <w:rPr>
                <w:noProof/>
                <w:webHidden/>
              </w:rPr>
              <w:tab/>
            </w:r>
            <w:r w:rsidR="00AA0833">
              <w:rPr>
                <w:noProof/>
                <w:webHidden/>
              </w:rPr>
              <w:fldChar w:fldCharType="begin"/>
            </w:r>
            <w:r w:rsidR="00AA0833">
              <w:rPr>
                <w:noProof/>
                <w:webHidden/>
              </w:rPr>
              <w:instrText xml:space="preserve"> PAGEREF _Toc503255737 \h </w:instrText>
            </w:r>
            <w:r w:rsidR="00AA0833">
              <w:rPr>
                <w:noProof/>
                <w:webHidden/>
              </w:rPr>
            </w:r>
            <w:r w:rsidR="00AA0833">
              <w:rPr>
                <w:noProof/>
                <w:webHidden/>
              </w:rPr>
              <w:fldChar w:fldCharType="separate"/>
            </w:r>
            <w:r w:rsidR="00AA0833">
              <w:rPr>
                <w:noProof/>
                <w:webHidden/>
              </w:rPr>
              <w:t>4</w:t>
            </w:r>
            <w:r w:rsidR="00AA0833">
              <w:rPr>
                <w:noProof/>
                <w:webHidden/>
              </w:rPr>
              <w:fldChar w:fldCharType="end"/>
            </w:r>
          </w:hyperlink>
        </w:p>
        <w:p w:rsidR="00AA0833" w:rsidRDefault="00A73141">
          <w:pPr>
            <w:pStyle w:val="TOC2"/>
            <w:tabs>
              <w:tab w:val="right" w:leader="dot" w:pos="9016"/>
            </w:tabs>
            <w:rPr>
              <w:rFonts w:asciiTheme="minorHAnsi" w:eastAsiaTheme="minorEastAsia" w:hAnsiTheme="minorHAnsi"/>
              <w:noProof/>
              <w:color w:val="auto"/>
              <w:lang w:eastAsia="en-GB"/>
            </w:rPr>
          </w:pPr>
          <w:hyperlink w:anchor="_Toc503255738" w:history="1">
            <w:r w:rsidR="00AA0833" w:rsidRPr="00906573">
              <w:rPr>
                <w:rStyle w:val="Hyperlink"/>
                <w:noProof/>
              </w:rPr>
              <w:t>Reasons for the Gender Pay Gap</w:t>
            </w:r>
            <w:r w:rsidR="00AA0833">
              <w:rPr>
                <w:noProof/>
                <w:webHidden/>
              </w:rPr>
              <w:tab/>
            </w:r>
            <w:r w:rsidR="00AA0833">
              <w:rPr>
                <w:noProof/>
                <w:webHidden/>
              </w:rPr>
              <w:fldChar w:fldCharType="begin"/>
            </w:r>
            <w:r w:rsidR="00AA0833">
              <w:rPr>
                <w:noProof/>
                <w:webHidden/>
              </w:rPr>
              <w:instrText xml:space="preserve"> PAGEREF _Toc503255738 \h </w:instrText>
            </w:r>
            <w:r w:rsidR="00AA0833">
              <w:rPr>
                <w:noProof/>
                <w:webHidden/>
              </w:rPr>
            </w:r>
            <w:r w:rsidR="00AA0833">
              <w:rPr>
                <w:noProof/>
                <w:webHidden/>
              </w:rPr>
              <w:fldChar w:fldCharType="separate"/>
            </w:r>
            <w:r w:rsidR="00AA0833">
              <w:rPr>
                <w:noProof/>
                <w:webHidden/>
              </w:rPr>
              <w:t>5</w:t>
            </w:r>
            <w:r w:rsidR="00AA0833">
              <w:rPr>
                <w:noProof/>
                <w:webHidden/>
              </w:rPr>
              <w:fldChar w:fldCharType="end"/>
            </w:r>
          </w:hyperlink>
        </w:p>
        <w:p w:rsidR="00AA0833" w:rsidRDefault="00A73141">
          <w:pPr>
            <w:pStyle w:val="TOC2"/>
            <w:tabs>
              <w:tab w:val="right" w:leader="dot" w:pos="9016"/>
            </w:tabs>
            <w:rPr>
              <w:rFonts w:asciiTheme="minorHAnsi" w:eastAsiaTheme="minorEastAsia" w:hAnsiTheme="minorHAnsi"/>
              <w:noProof/>
              <w:color w:val="auto"/>
              <w:lang w:eastAsia="en-GB"/>
            </w:rPr>
          </w:pPr>
          <w:hyperlink w:anchor="_Toc503255739" w:history="1">
            <w:r w:rsidR="00AA0833" w:rsidRPr="00906573">
              <w:rPr>
                <w:rStyle w:val="Hyperlink"/>
                <w:noProof/>
              </w:rPr>
              <w:t>Mean Bonus Pay Gap</w:t>
            </w:r>
            <w:r w:rsidR="00AA0833">
              <w:rPr>
                <w:noProof/>
                <w:webHidden/>
              </w:rPr>
              <w:tab/>
            </w:r>
            <w:r w:rsidR="00AA0833">
              <w:rPr>
                <w:noProof/>
                <w:webHidden/>
              </w:rPr>
              <w:fldChar w:fldCharType="begin"/>
            </w:r>
            <w:r w:rsidR="00AA0833">
              <w:rPr>
                <w:noProof/>
                <w:webHidden/>
              </w:rPr>
              <w:instrText xml:space="preserve"> PAGEREF _Toc503255739 \h </w:instrText>
            </w:r>
            <w:r w:rsidR="00AA0833">
              <w:rPr>
                <w:noProof/>
                <w:webHidden/>
              </w:rPr>
            </w:r>
            <w:r w:rsidR="00AA0833">
              <w:rPr>
                <w:noProof/>
                <w:webHidden/>
              </w:rPr>
              <w:fldChar w:fldCharType="separate"/>
            </w:r>
            <w:r w:rsidR="00AA0833">
              <w:rPr>
                <w:noProof/>
                <w:webHidden/>
              </w:rPr>
              <w:t>5</w:t>
            </w:r>
            <w:r w:rsidR="00AA0833">
              <w:rPr>
                <w:noProof/>
                <w:webHidden/>
              </w:rPr>
              <w:fldChar w:fldCharType="end"/>
            </w:r>
          </w:hyperlink>
        </w:p>
        <w:p w:rsidR="00AA0833" w:rsidRDefault="00A73141">
          <w:pPr>
            <w:pStyle w:val="TOC2"/>
            <w:tabs>
              <w:tab w:val="right" w:leader="dot" w:pos="9016"/>
            </w:tabs>
            <w:rPr>
              <w:rFonts w:asciiTheme="minorHAnsi" w:eastAsiaTheme="minorEastAsia" w:hAnsiTheme="minorHAnsi"/>
              <w:noProof/>
              <w:color w:val="auto"/>
              <w:lang w:eastAsia="en-GB"/>
            </w:rPr>
          </w:pPr>
          <w:hyperlink w:anchor="_Toc503255740" w:history="1">
            <w:r w:rsidR="00AA0833" w:rsidRPr="00906573">
              <w:rPr>
                <w:rStyle w:val="Hyperlink"/>
                <w:noProof/>
              </w:rPr>
              <w:t>Median Bonus Pay Gap</w:t>
            </w:r>
            <w:r w:rsidR="00AA0833">
              <w:rPr>
                <w:noProof/>
                <w:webHidden/>
              </w:rPr>
              <w:tab/>
            </w:r>
            <w:r w:rsidR="00AA0833">
              <w:rPr>
                <w:noProof/>
                <w:webHidden/>
              </w:rPr>
              <w:fldChar w:fldCharType="begin"/>
            </w:r>
            <w:r w:rsidR="00AA0833">
              <w:rPr>
                <w:noProof/>
                <w:webHidden/>
              </w:rPr>
              <w:instrText xml:space="preserve"> PAGEREF _Toc503255740 \h </w:instrText>
            </w:r>
            <w:r w:rsidR="00AA0833">
              <w:rPr>
                <w:noProof/>
                <w:webHidden/>
              </w:rPr>
            </w:r>
            <w:r w:rsidR="00AA0833">
              <w:rPr>
                <w:noProof/>
                <w:webHidden/>
              </w:rPr>
              <w:fldChar w:fldCharType="separate"/>
            </w:r>
            <w:r w:rsidR="00AA0833">
              <w:rPr>
                <w:noProof/>
                <w:webHidden/>
              </w:rPr>
              <w:t>5</w:t>
            </w:r>
            <w:r w:rsidR="00AA0833">
              <w:rPr>
                <w:noProof/>
                <w:webHidden/>
              </w:rPr>
              <w:fldChar w:fldCharType="end"/>
            </w:r>
          </w:hyperlink>
        </w:p>
        <w:p w:rsidR="00AA0833" w:rsidRDefault="00A73141">
          <w:pPr>
            <w:pStyle w:val="TOC2"/>
            <w:tabs>
              <w:tab w:val="right" w:leader="dot" w:pos="9016"/>
            </w:tabs>
            <w:rPr>
              <w:rFonts w:asciiTheme="minorHAnsi" w:eastAsiaTheme="minorEastAsia" w:hAnsiTheme="minorHAnsi"/>
              <w:noProof/>
              <w:color w:val="auto"/>
              <w:lang w:eastAsia="en-GB"/>
            </w:rPr>
          </w:pPr>
          <w:hyperlink w:anchor="_Toc503255741" w:history="1">
            <w:r w:rsidR="00AA0833" w:rsidRPr="00906573">
              <w:rPr>
                <w:rStyle w:val="Hyperlink"/>
                <w:noProof/>
              </w:rPr>
              <w:t>Proportion of Males and Females receiving a Bonus Payment</w:t>
            </w:r>
            <w:r w:rsidR="00AA0833">
              <w:rPr>
                <w:noProof/>
                <w:webHidden/>
              </w:rPr>
              <w:tab/>
            </w:r>
            <w:r w:rsidR="00AA0833">
              <w:rPr>
                <w:noProof/>
                <w:webHidden/>
              </w:rPr>
              <w:fldChar w:fldCharType="begin"/>
            </w:r>
            <w:r w:rsidR="00AA0833">
              <w:rPr>
                <w:noProof/>
                <w:webHidden/>
              </w:rPr>
              <w:instrText xml:space="preserve"> PAGEREF _Toc503255741 \h </w:instrText>
            </w:r>
            <w:r w:rsidR="00AA0833">
              <w:rPr>
                <w:noProof/>
                <w:webHidden/>
              </w:rPr>
            </w:r>
            <w:r w:rsidR="00AA0833">
              <w:rPr>
                <w:noProof/>
                <w:webHidden/>
              </w:rPr>
              <w:fldChar w:fldCharType="separate"/>
            </w:r>
            <w:r w:rsidR="00AA0833">
              <w:rPr>
                <w:noProof/>
                <w:webHidden/>
              </w:rPr>
              <w:t>5</w:t>
            </w:r>
            <w:r w:rsidR="00AA0833">
              <w:rPr>
                <w:noProof/>
                <w:webHidden/>
              </w:rPr>
              <w:fldChar w:fldCharType="end"/>
            </w:r>
          </w:hyperlink>
        </w:p>
        <w:p w:rsidR="00AA0833" w:rsidRDefault="00A73141">
          <w:pPr>
            <w:pStyle w:val="TOC2"/>
            <w:tabs>
              <w:tab w:val="right" w:leader="dot" w:pos="9016"/>
            </w:tabs>
            <w:rPr>
              <w:rFonts w:asciiTheme="minorHAnsi" w:eastAsiaTheme="minorEastAsia" w:hAnsiTheme="minorHAnsi"/>
              <w:noProof/>
              <w:color w:val="auto"/>
              <w:lang w:eastAsia="en-GB"/>
            </w:rPr>
          </w:pPr>
          <w:hyperlink w:anchor="_Toc503255742" w:history="1">
            <w:r w:rsidR="00AA0833" w:rsidRPr="00906573">
              <w:rPr>
                <w:rStyle w:val="Hyperlink"/>
                <w:noProof/>
              </w:rPr>
              <w:t>Proportion of Males and Females in each Quartile Band</w:t>
            </w:r>
            <w:r w:rsidR="00AA0833">
              <w:rPr>
                <w:noProof/>
                <w:webHidden/>
              </w:rPr>
              <w:tab/>
            </w:r>
            <w:r w:rsidR="00AA0833">
              <w:rPr>
                <w:noProof/>
                <w:webHidden/>
              </w:rPr>
              <w:fldChar w:fldCharType="begin"/>
            </w:r>
            <w:r w:rsidR="00AA0833">
              <w:rPr>
                <w:noProof/>
                <w:webHidden/>
              </w:rPr>
              <w:instrText xml:space="preserve"> PAGEREF _Toc503255742 \h </w:instrText>
            </w:r>
            <w:r w:rsidR="00AA0833">
              <w:rPr>
                <w:noProof/>
                <w:webHidden/>
              </w:rPr>
            </w:r>
            <w:r w:rsidR="00AA0833">
              <w:rPr>
                <w:noProof/>
                <w:webHidden/>
              </w:rPr>
              <w:fldChar w:fldCharType="separate"/>
            </w:r>
            <w:r w:rsidR="00AA0833">
              <w:rPr>
                <w:noProof/>
                <w:webHidden/>
              </w:rPr>
              <w:t>5</w:t>
            </w:r>
            <w:r w:rsidR="00AA0833">
              <w:rPr>
                <w:noProof/>
                <w:webHidden/>
              </w:rPr>
              <w:fldChar w:fldCharType="end"/>
            </w:r>
          </w:hyperlink>
        </w:p>
        <w:p w:rsidR="00AA0833" w:rsidRDefault="00A73141">
          <w:pPr>
            <w:pStyle w:val="TOC2"/>
            <w:tabs>
              <w:tab w:val="right" w:leader="dot" w:pos="9016"/>
            </w:tabs>
            <w:rPr>
              <w:rFonts w:asciiTheme="minorHAnsi" w:eastAsiaTheme="minorEastAsia" w:hAnsiTheme="minorHAnsi"/>
              <w:noProof/>
              <w:color w:val="auto"/>
              <w:lang w:eastAsia="en-GB"/>
            </w:rPr>
          </w:pPr>
          <w:hyperlink w:anchor="_Toc503255743" w:history="1">
            <w:r w:rsidR="00AA0833" w:rsidRPr="00906573">
              <w:rPr>
                <w:rStyle w:val="Hyperlink"/>
                <w:noProof/>
              </w:rPr>
              <w:t>Key Findings</w:t>
            </w:r>
            <w:r w:rsidR="00AA0833">
              <w:rPr>
                <w:noProof/>
                <w:webHidden/>
              </w:rPr>
              <w:tab/>
            </w:r>
            <w:r w:rsidR="00AA0833">
              <w:rPr>
                <w:noProof/>
                <w:webHidden/>
              </w:rPr>
              <w:fldChar w:fldCharType="begin"/>
            </w:r>
            <w:r w:rsidR="00AA0833">
              <w:rPr>
                <w:noProof/>
                <w:webHidden/>
              </w:rPr>
              <w:instrText xml:space="preserve"> PAGEREF _Toc503255743 \h </w:instrText>
            </w:r>
            <w:r w:rsidR="00AA0833">
              <w:rPr>
                <w:noProof/>
                <w:webHidden/>
              </w:rPr>
            </w:r>
            <w:r w:rsidR="00AA0833">
              <w:rPr>
                <w:noProof/>
                <w:webHidden/>
              </w:rPr>
              <w:fldChar w:fldCharType="separate"/>
            </w:r>
            <w:r w:rsidR="00AA0833">
              <w:rPr>
                <w:noProof/>
                <w:webHidden/>
              </w:rPr>
              <w:t>5</w:t>
            </w:r>
            <w:r w:rsidR="00AA0833">
              <w:rPr>
                <w:noProof/>
                <w:webHidden/>
              </w:rPr>
              <w:fldChar w:fldCharType="end"/>
            </w:r>
          </w:hyperlink>
        </w:p>
        <w:p w:rsidR="00AA0833" w:rsidRDefault="00A73141">
          <w:pPr>
            <w:pStyle w:val="TOC1"/>
            <w:tabs>
              <w:tab w:val="right" w:leader="dot" w:pos="9016"/>
            </w:tabs>
            <w:rPr>
              <w:rFonts w:asciiTheme="minorHAnsi" w:eastAsiaTheme="minorEastAsia" w:hAnsiTheme="minorHAnsi"/>
              <w:noProof/>
              <w:color w:val="auto"/>
              <w:lang w:eastAsia="en-GB"/>
            </w:rPr>
          </w:pPr>
          <w:hyperlink w:anchor="_Toc503255744" w:history="1">
            <w:r w:rsidR="00AA0833" w:rsidRPr="00906573">
              <w:rPr>
                <w:rStyle w:val="Hyperlink"/>
                <w:noProof/>
              </w:rPr>
              <w:t>Action Plan</w:t>
            </w:r>
            <w:r w:rsidR="00AA0833">
              <w:rPr>
                <w:noProof/>
                <w:webHidden/>
              </w:rPr>
              <w:tab/>
            </w:r>
            <w:r w:rsidR="00AA0833">
              <w:rPr>
                <w:noProof/>
                <w:webHidden/>
              </w:rPr>
              <w:fldChar w:fldCharType="begin"/>
            </w:r>
            <w:r w:rsidR="00AA0833">
              <w:rPr>
                <w:noProof/>
                <w:webHidden/>
              </w:rPr>
              <w:instrText xml:space="preserve"> PAGEREF _Toc503255744 \h </w:instrText>
            </w:r>
            <w:r w:rsidR="00AA0833">
              <w:rPr>
                <w:noProof/>
                <w:webHidden/>
              </w:rPr>
            </w:r>
            <w:r w:rsidR="00AA0833">
              <w:rPr>
                <w:noProof/>
                <w:webHidden/>
              </w:rPr>
              <w:fldChar w:fldCharType="separate"/>
            </w:r>
            <w:r w:rsidR="00AA0833">
              <w:rPr>
                <w:noProof/>
                <w:webHidden/>
              </w:rPr>
              <w:t>7</w:t>
            </w:r>
            <w:r w:rsidR="00AA0833">
              <w:rPr>
                <w:noProof/>
                <w:webHidden/>
              </w:rPr>
              <w:fldChar w:fldCharType="end"/>
            </w:r>
          </w:hyperlink>
        </w:p>
        <w:p w:rsidR="00426361" w:rsidRPr="009D2754" w:rsidRDefault="00E7359F" w:rsidP="009D2754">
          <w:pPr>
            <w:pStyle w:val="TOC1"/>
            <w:tabs>
              <w:tab w:val="right" w:leader="dot" w:pos="9016"/>
            </w:tabs>
            <w:rPr>
              <w:rFonts w:asciiTheme="minorHAnsi" w:eastAsiaTheme="minorEastAsia" w:hAnsiTheme="minorHAnsi"/>
              <w:noProof/>
              <w:color w:val="auto"/>
              <w:lang w:eastAsia="en-GB"/>
            </w:rPr>
          </w:pPr>
          <w:r>
            <w:fldChar w:fldCharType="end"/>
          </w:r>
        </w:p>
      </w:sdtContent>
    </w:sdt>
    <w:p w:rsidR="006E027E" w:rsidRDefault="006E027E" w:rsidP="006E027E">
      <w:pPr>
        <w:pStyle w:val="Title"/>
        <w:rPr>
          <w:sz w:val="28"/>
          <w:szCs w:val="28"/>
        </w:rPr>
      </w:pPr>
      <w:r>
        <w:br w:type="page"/>
      </w:r>
    </w:p>
    <w:p w:rsidR="001B66F1" w:rsidRDefault="001D2855" w:rsidP="006E027E">
      <w:pPr>
        <w:pStyle w:val="Heading1"/>
      </w:pPr>
      <w:bookmarkStart w:id="0" w:name="_Toc503255734"/>
      <w:r>
        <w:t>Introduction</w:t>
      </w:r>
      <w:bookmarkEnd w:id="0"/>
      <w:r w:rsidR="00CB3422">
        <w:t xml:space="preserve"> </w:t>
      </w:r>
    </w:p>
    <w:p w:rsidR="00F6592F" w:rsidRDefault="006E027E" w:rsidP="00426361">
      <w:r>
        <w:br/>
      </w:r>
      <w:r w:rsidR="00F6592F">
        <w:t>Leeds Beckett University is committed to providing a vibrant, ethical and sustainable working and learning environment that values equality and diversity. This commitment exists alongside our legal and moral obligations to provide an inclusive environment for our staff, students and members of the public who may be affected by our activities and we aim to:</w:t>
      </w:r>
    </w:p>
    <w:p w:rsidR="00F6592F" w:rsidRDefault="00F6592F" w:rsidP="00F6592F">
      <w:pPr>
        <w:pStyle w:val="ListParagraph"/>
        <w:numPr>
          <w:ilvl w:val="0"/>
          <w:numId w:val="1"/>
        </w:numPr>
      </w:pPr>
      <w:r>
        <w:t>Provide a supportive, inclusive and welcoming environment in preparing students for employment and lifelong learning.</w:t>
      </w:r>
    </w:p>
    <w:p w:rsidR="00F6592F" w:rsidRDefault="00F6592F" w:rsidP="00F6592F">
      <w:pPr>
        <w:pStyle w:val="ListParagraph"/>
        <w:numPr>
          <w:ilvl w:val="0"/>
          <w:numId w:val="1"/>
        </w:numPr>
      </w:pPr>
      <w:r>
        <w:t>Engage, value and develop our diverse community of colleagues.</w:t>
      </w:r>
    </w:p>
    <w:p w:rsidR="00F6592F" w:rsidRDefault="00F6592F" w:rsidP="00F6592F">
      <w:r>
        <w:t>Our Equality and Diversity Policy can be accessed in full on our website from the link below.</w:t>
      </w:r>
    </w:p>
    <w:p w:rsidR="00F6592F" w:rsidRDefault="00A73141" w:rsidP="00F6592F">
      <w:hyperlink r:id="rId8" w:history="1">
        <w:r w:rsidR="00F6592F" w:rsidRPr="00537DB1">
          <w:rPr>
            <w:rStyle w:val="Hyperlink"/>
          </w:rPr>
          <w:t>http://www.leedsbeckett.ac.uk/-/media/files/public-information/a-to-z-guides-and-support/nn_equality__diversity_policy.pdf</w:t>
        </w:r>
      </w:hyperlink>
    </w:p>
    <w:p w:rsidR="00F6592F" w:rsidRDefault="00F6592F" w:rsidP="00F6592F">
      <w:r>
        <w:t>The policy is supported by Equality Objectives as a result of the Public Sector Duty required by the Equality Act 2010</w:t>
      </w:r>
      <w:r w:rsidR="008C6335">
        <w:t>. In addition, employers in the public sector are subject to a specific public sector equality duty in respect of their functions – The Equality Act 2010 (Specific Duties and Public Authorities) Regulations 2017 which covers reporting on Gender Pay Gaps.</w:t>
      </w:r>
    </w:p>
    <w:p w:rsidR="008C6335" w:rsidRDefault="008C6335" w:rsidP="00F6592F">
      <w:r>
        <w:t>From 2017, all employers with 250 or more employees must publish and report specific figures about their gender pay gap which is the difference between the average earnings of men and women, expressed relative to men’s earnings.</w:t>
      </w:r>
    </w:p>
    <w:p w:rsidR="008C6335" w:rsidRDefault="008C6335" w:rsidP="00F6592F">
      <w:r>
        <w:t xml:space="preserve">The figures are published at a ‘snapshot date’ which for public sector employers is 31 March 2017. However, the figures are also to take into account any bonuses that are paid in the previous </w:t>
      </w:r>
      <w:r w:rsidR="001B1ABF">
        <w:t>12-month</w:t>
      </w:r>
      <w:r>
        <w:t xml:space="preserve"> period.</w:t>
      </w:r>
    </w:p>
    <w:p w:rsidR="008C6335" w:rsidRDefault="008C6335" w:rsidP="00F6592F">
      <w:r>
        <w:t>The purpose of Gender Pay Gap reporting is to achieve greater gender equality across the UK and increase pay transparency.</w:t>
      </w:r>
    </w:p>
    <w:p w:rsidR="005F3CC8" w:rsidRDefault="008C6335" w:rsidP="00F6592F">
      <w:r>
        <w:t>Leeds Beckett University is committed to the principle of equal opportunity in employment. To achieve this the University operates a single grading structure for all staff based on a nationally agreed pay spine. The grade</w:t>
      </w:r>
      <w:r w:rsidR="007355E7">
        <w:t>s</w:t>
      </w:r>
      <w:r>
        <w:t xml:space="preserve"> of all jobs within this grading structure are determined through the HERA job evaluation scheme</w:t>
      </w:r>
      <w:r w:rsidR="005F3CC8">
        <w:t xml:space="preserve"> and all pay decision</w:t>
      </w:r>
      <w:r w:rsidR="007355E7">
        <w:t>s,</w:t>
      </w:r>
      <w:r w:rsidR="005F3CC8">
        <w:t xml:space="preserve"> including salary progression</w:t>
      </w:r>
      <w:r w:rsidR="007355E7">
        <w:t>,</w:t>
      </w:r>
      <w:r w:rsidR="005F3CC8">
        <w:t xml:space="preserve"> are made in line with our pay policy which can be access</w:t>
      </w:r>
      <w:r w:rsidR="00FF5782">
        <w:t>ed</w:t>
      </w:r>
      <w:r w:rsidR="005F3CC8">
        <w:t xml:space="preserve"> on our website from the link below.</w:t>
      </w:r>
    </w:p>
    <w:p w:rsidR="005F3CC8" w:rsidRDefault="00A73141" w:rsidP="00F6592F">
      <w:hyperlink r:id="rId9" w:history="1">
        <w:r w:rsidR="005F3CC8" w:rsidRPr="00537DB1">
          <w:rPr>
            <w:rStyle w:val="Hyperlink"/>
          </w:rPr>
          <w:t>https://www.leedsbeckett.ac.uk/-/media/files/public-information/a-to-z-guides-and-support/nn_pay_policy.pdf</w:t>
        </w:r>
      </w:hyperlink>
    </w:p>
    <w:p w:rsidR="001D2855" w:rsidRDefault="005F3CC8" w:rsidP="00F6592F">
      <w:r>
        <w:t>Separate arrangements are in place for a small number of senior colleagues.</w:t>
      </w:r>
    </w:p>
    <w:p w:rsidR="001D2855" w:rsidRDefault="001D2855">
      <w:r>
        <w:br w:type="page"/>
      </w:r>
    </w:p>
    <w:p w:rsidR="008C6335" w:rsidRDefault="001D2855" w:rsidP="001D2855">
      <w:pPr>
        <w:pStyle w:val="Heading1"/>
      </w:pPr>
      <w:bookmarkStart w:id="1" w:name="_Toc503255735"/>
      <w:r>
        <w:t>Gender Pay Gap Data</w:t>
      </w:r>
      <w:bookmarkEnd w:id="1"/>
      <w:r w:rsidR="008C6335">
        <w:t xml:space="preserve"> </w:t>
      </w:r>
    </w:p>
    <w:p w:rsidR="001D2855" w:rsidRDefault="001D2855" w:rsidP="001D2855">
      <w:pPr>
        <w:pStyle w:val="NoSpacing"/>
      </w:pPr>
    </w:p>
    <w:p w:rsidR="001D2855" w:rsidRDefault="001D2855" w:rsidP="00426361">
      <w:r>
        <w:t>The regulations set out what data must be gathered and the rules for making the calculations. The</w:t>
      </w:r>
      <w:r w:rsidR="00FF5782">
        <w:t>y</w:t>
      </w:r>
      <w:r>
        <w:t xml:space="preserve"> can be access</w:t>
      </w:r>
      <w:r w:rsidR="002C74E4">
        <w:t>ed</w:t>
      </w:r>
      <w:r>
        <w:t xml:space="preserve"> from the Government website using the link below.</w:t>
      </w:r>
    </w:p>
    <w:p w:rsidR="001D2855" w:rsidRDefault="00A73141" w:rsidP="00426361">
      <w:hyperlink r:id="rId10" w:history="1">
        <w:r w:rsidR="001D2855" w:rsidRPr="00537DB1">
          <w:rPr>
            <w:rStyle w:val="Hyperlink"/>
          </w:rPr>
          <w:t>https://www.gov.uk/guidance/gender-pay-gap-reporting-overview</w:t>
        </w:r>
      </w:hyperlink>
    </w:p>
    <w:p w:rsidR="001D2855" w:rsidRDefault="001D2855" w:rsidP="00426361">
      <w:r>
        <w:t>The information that must be published is the:</w:t>
      </w:r>
    </w:p>
    <w:p w:rsidR="001D2855" w:rsidRDefault="001D2855" w:rsidP="001D2855">
      <w:pPr>
        <w:pStyle w:val="ListParagraph"/>
        <w:numPr>
          <w:ilvl w:val="0"/>
          <w:numId w:val="2"/>
        </w:numPr>
      </w:pPr>
      <w:r>
        <w:t>Mean gender pay gap in hourly pay.</w:t>
      </w:r>
    </w:p>
    <w:p w:rsidR="001D2855" w:rsidRDefault="002C74E4" w:rsidP="001D2855">
      <w:pPr>
        <w:pStyle w:val="ListParagraph"/>
        <w:numPr>
          <w:ilvl w:val="0"/>
          <w:numId w:val="2"/>
        </w:numPr>
      </w:pPr>
      <w:r>
        <w:t>Median gender pay gap in hourly pay.</w:t>
      </w:r>
    </w:p>
    <w:p w:rsidR="002C74E4" w:rsidRDefault="002C74E4" w:rsidP="001D2855">
      <w:pPr>
        <w:pStyle w:val="ListParagraph"/>
        <w:numPr>
          <w:ilvl w:val="0"/>
          <w:numId w:val="2"/>
        </w:numPr>
      </w:pPr>
      <w:r>
        <w:t>Mean bonus gender pay gap.</w:t>
      </w:r>
    </w:p>
    <w:p w:rsidR="002C74E4" w:rsidRDefault="002C74E4" w:rsidP="001D2855">
      <w:pPr>
        <w:pStyle w:val="ListParagraph"/>
        <w:numPr>
          <w:ilvl w:val="0"/>
          <w:numId w:val="2"/>
        </w:numPr>
      </w:pPr>
      <w:r>
        <w:t>Median bonus gender pay gap.</w:t>
      </w:r>
    </w:p>
    <w:p w:rsidR="002C74E4" w:rsidRDefault="002C74E4" w:rsidP="001D2855">
      <w:pPr>
        <w:pStyle w:val="ListParagraph"/>
        <w:numPr>
          <w:ilvl w:val="0"/>
          <w:numId w:val="2"/>
        </w:numPr>
      </w:pPr>
      <w:r>
        <w:t>Proportion of males and females receiving a bonus payment.</w:t>
      </w:r>
    </w:p>
    <w:p w:rsidR="002C74E4" w:rsidRDefault="002C74E4" w:rsidP="001D2855">
      <w:pPr>
        <w:pStyle w:val="ListParagraph"/>
        <w:numPr>
          <w:ilvl w:val="0"/>
          <w:numId w:val="2"/>
        </w:numPr>
      </w:pPr>
      <w:r>
        <w:t>Proportion of males and females in each pay quartile.</w:t>
      </w:r>
    </w:p>
    <w:p w:rsidR="001D2855" w:rsidRDefault="002C74E4" w:rsidP="00426361">
      <w:r>
        <w:t xml:space="preserve">The gender pay gap calculation is based on the number of individual employees and not the full-time equivalent. This means that each part-time employee counts as one employee. If an employee has more than one job, we have aggregated them into a single hourly rate. Casual </w:t>
      </w:r>
      <w:proofErr w:type="gramStart"/>
      <w:r>
        <w:t>workers</w:t>
      </w:r>
      <w:proofErr w:type="gramEnd"/>
      <w:r>
        <w:t xml:space="preserve"> are included if they were working on the </w:t>
      </w:r>
      <w:r w:rsidR="007355E7">
        <w:t>‘</w:t>
      </w:r>
      <w:r>
        <w:t>snapshot date’.</w:t>
      </w:r>
    </w:p>
    <w:p w:rsidR="002C74E4" w:rsidRDefault="00A017B0" w:rsidP="00A017B0">
      <w:r>
        <w:t xml:space="preserve">All standard monetary payments are included in the ordinary pay used to determine the hourly rate. </w:t>
      </w:r>
      <w:r w:rsidR="002C74E4" w:rsidRPr="002C74E4">
        <w:t xml:space="preserve">Bonuses include any </w:t>
      </w:r>
      <w:r>
        <w:t xml:space="preserve">rewards </w:t>
      </w:r>
      <w:r w:rsidR="002C74E4" w:rsidRPr="002C74E4">
        <w:t>related to</w:t>
      </w:r>
      <w:r w:rsidR="002C74E4">
        <w:t xml:space="preserve"> </w:t>
      </w:r>
      <w:r w:rsidR="002C74E4" w:rsidRPr="002C74E4">
        <w:t>profit-sharing</w:t>
      </w:r>
      <w:r w:rsidR="002C74E4">
        <w:t xml:space="preserve">, </w:t>
      </w:r>
      <w:r w:rsidR="002C74E4" w:rsidRPr="002C74E4">
        <w:t>productivity</w:t>
      </w:r>
      <w:r w:rsidR="002C74E4">
        <w:t xml:space="preserve">, </w:t>
      </w:r>
      <w:r w:rsidR="002C74E4" w:rsidRPr="002C74E4">
        <w:t>performance</w:t>
      </w:r>
      <w:r w:rsidR="002C74E4">
        <w:t xml:space="preserve">, </w:t>
      </w:r>
      <w:r w:rsidR="002C74E4" w:rsidRPr="002C74E4">
        <w:t>incentive</w:t>
      </w:r>
      <w:r w:rsidR="007355E7">
        <w:t>s</w:t>
      </w:r>
      <w:r w:rsidR="002C74E4">
        <w:t xml:space="preserve"> or </w:t>
      </w:r>
      <w:r w:rsidR="002C74E4" w:rsidRPr="002C74E4">
        <w:t>commission</w:t>
      </w:r>
      <w:r w:rsidR="002C74E4">
        <w:t xml:space="preserve"> and </w:t>
      </w:r>
      <w:r w:rsidR="001B1ABF">
        <w:t>t</w:t>
      </w:r>
      <w:r w:rsidR="002C74E4" w:rsidRPr="002C74E4">
        <w:t>he rewards can be made in</w:t>
      </w:r>
      <w:r w:rsidR="002C74E4">
        <w:t xml:space="preserve"> </w:t>
      </w:r>
      <w:r w:rsidR="002C74E4" w:rsidRPr="002C74E4">
        <w:t>cash</w:t>
      </w:r>
      <w:r w:rsidR="002C74E4">
        <w:t xml:space="preserve">, </w:t>
      </w:r>
      <w:r w:rsidR="002C74E4" w:rsidRPr="002C74E4">
        <w:t>vouchers</w:t>
      </w:r>
      <w:r w:rsidR="002C74E4">
        <w:t xml:space="preserve">, </w:t>
      </w:r>
      <w:r w:rsidR="002C74E4" w:rsidRPr="002C74E4">
        <w:t>securities</w:t>
      </w:r>
      <w:r w:rsidR="002C74E4">
        <w:t xml:space="preserve">, </w:t>
      </w:r>
      <w:r w:rsidR="002C74E4" w:rsidRPr="002C74E4">
        <w:t>securities options</w:t>
      </w:r>
      <w:r w:rsidR="002C74E4">
        <w:t xml:space="preserve"> or </w:t>
      </w:r>
      <w:r w:rsidR="002C74E4" w:rsidRPr="002C74E4">
        <w:t>interests in securities</w:t>
      </w:r>
      <w:r w:rsidR="002C74E4">
        <w:t xml:space="preserve">. For Leeds Beckett University this includes </w:t>
      </w:r>
      <w:r>
        <w:t xml:space="preserve">non-consolidated honorarium payments and Long-Service Awards. Payments such as overtime and those related to the termination of employment are excluded from all </w:t>
      </w:r>
      <w:r w:rsidR="001B1ABF">
        <w:t>calculations</w:t>
      </w:r>
      <w:r>
        <w:t>.</w:t>
      </w:r>
    </w:p>
    <w:p w:rsidR="00A017B0" w:rsidRDefault="00A017B0" w:rsidP="00A017B0">
      <w:r>
        <w:t>A positive measure indicates the extent to which females earn, on average, less than their male counterparts.</w:t>
      </w:r>
    </w:p>
    <w:p w:rsidR="00A017B0" w:rsidRDefault="00A017B0" w:rsidP="00A017B0">
      <w:pPr>
        <w:pStyle w:val="Heading2"/>
      </w:pPr>
      <w:bookmarkStart w:id="2" w:name="_Toc503255736"/>
      <w:r>
        <w:t>Mean Gender Pay Gap</w:t>
      </w:r>
      <w:bookmarkEnd w:id="2"/>
    </w:p>
    <w:p w:rsidR="00A017B0" w:rsidRDefault="00A017B0" w:rsidP="00A017B0">
      <w:pPr>
        <w:pStyle w:val="NoSpacing"/>
      </w:pPr>
    </w:p>
    <w:p w:rsidR="00A017B0" w:rsidRDefault="00A017B0" w:rsidP="00A017B0">
      <w:r>
        <w:t>The difference between the mean (average) hourly rate of pay for male full-pay relevant employees and that of female full-pay relevant employees is 10.2%.</w:t>
      </w:r>
    </w:p>
    <w:p w:rsidR="00A017B0" w:rsidRDefault="00A017B0" w:rsidP="00A017B0">
      <w:r>
        <w:t>The mean hourly rate of pay for a male was £20.50 and for a female it is £1</w:t>
      </w:r>
      <w:r w:rsidR="00DE476D">
        <w:t>8</w:t>
      </w:r>
      <w:r>
        <w:t>.40.</w:t>
      </w:r>
    </w:p>
    <w:p w:rsidR="00AB4DDE" w:rsidRDefault="00AB4DDE" w:rsidP="00A017B0">
      <w:r>
        <w:t xml:space="preserve">The mean gender pay gap </w:t>
      </w:r>
      <w:r w:rsidR="00604838">
        <w:t xml:space="preserve">in the higher education sector </w:t>
      </w:r>
      <w:r>
        <w:t>in 20</w:t>
      </w:r>
      <w:r w:rsidR="00604838">
        <w:t>16/</w:t>
      </w:r>
      <w:r>
        <w:t xml:space="preserve">17 published by the ONS (Office for National Statistics) </w:t>
      </w:r>
      <w:r w:rsidR="00604838">
        <w:t>i</w:t>
      </w:r>
      <w:r>
        <w:t xml:space="preserve">s </w:t>
      </w:r>
      <w:r w:rsidR="00604838">
        <w:t>15.5</w:t>
      </w:r>
      <w:r>
        <w:t>%.</w:t>
      </w:r>
    </w:p>
    <w:p w:rsidR="00A017B0" w:rsidRDefault="00A017B0" w:rsidP="00A017B0">
      <w:pPr>
        <w:pStyle w:val="Heading2"/>
      </w:pPr>
      <w:bookmarkStart w:id="3" w:name="_Toc503255737"/>
      <w:r>
        <w:t>Median Gender Pay Gap</w:t>
      </w:r>
      <w:bookmarkEnd w:id="3"/>
    </w:p>
    <w:p w:rsidR="00A017B0" w:rsidRDefault="00A017B0" w:rsidP="00A017B0">
      <w:pPr>
        <w:pStyle w:val="NoSpacing"/>
      </w:pPr>
    </w:p>
    <w:p w:rsidR="00A017B0" w:rsidRDefault="00A017B0" w:rsidP="00A017B0">
      <w:r>
        <w:t>The difference between the median hourly rate of pay for male full-pay relevant employees and that of female full-pay relevant employees is 8.4%.</w:t>
      </w:r>
    </w:p>
    <w:p w:rsidR="00AA0833" w:rsidRDefault="00AB4DDE">
      <w:r>
        <w:t xml:space="preserve">The median gender pay gap </w:t>
      </w:r>
      <w:r w:rsidR="00604838">
        <w:t>in the higher education sector in 2016/</w:t>
      </w:r>
      <w:r>
        <w:t xml:space="preserve">17 published by the ONS </w:t>
      </w:r>
      <w:r w:rsidR="00604838">
        <w:t>is 1</w:t>
      </w:r>
      <w:r>
        <w:t>4</w:t>
      </w:r>
      <w:r w:rsidR="00604838">
        <w:t>.3</w:t>
      </w:r>
      <w:r>
        <w:t>%.</w:t>
      </w:r>
    </w:p>
    <w:p w:rsidR="00AA0833" w:rsidRDefault="00AA0833" w:rsidP="00AA0833">
      <w:pPr>
        <w:pStyle w:val="Heading2"/>
      </w:pPr>
      <w:bookmarkStart w:id="4" w:name="_Toc503255738"/>
      <w:r>
        <w:t>Reasons for the Gender Pay Gap</w:t>
      </w:r>
      <w:bookmarkEnd w:id="4"/>
    </w:p>
    <w:p w:rsidR="00AA0833" w:rsidRDefault="00AA0833" w:rsidP="00AA0833">
      <w:pPr>
        <w:pStyle w:val="NoSpacing"/>
      </w:pPr>
    </w:p>
    <w:p w:rsidR="00410DD3" w:rsidRDefault="00AA0833" w:rsidP="00AA0833">
      <w:r>
        <w:t xml:space="preserve">The </w:t>
      </w:r>
      <w:r w:rsidR="00410DD3">
        <w:t>causes of gender pay gaps are complex and overlapping. The main reasons at a national level are consider</w:t>
      </w:r>
      <w:r w:rsidR="007355E7">
        <w:t>ed</w:t>
      </w:r>
      <w:r w:rsidR="00410DD3">
        <w:t xml:space="preserve"> </w:t>
      </w:r>
      <w:proofErr w:type="gramStart"/>
      <w:r w:rsidR="00410DD3">
        <w:t>to be</w:t>
      </w:r>
      <w:r w:rsidR="007355E7">
        <w:t xml:space="preserve"> that</w:t>
      </w:r>
      <w:proofErr w:type="gramEnd"/>
      <w:r w:rsidR="007355E7">
        <w:t>:</w:t>
      </w:r>
    </w:p>
    <w:p w:rsidR="00410DD3" w:rsidRDefault="00410DD3" w:rsidP="00410DD3">
      <w:pPr>
        <w:pStyle w:val="ListParagraph"/>
        <w:numPr>
          <w:ilvl w:val="0"/>
          <w:numId w:val="7"/>
        </w:numPr>
        <w:spacing w:after="160" w:line="259" w:lineRule="auto"/>
      </w:pPr>
      <w:r>
        <w:t xml:space="preserve">A higher proportion of women </w:t>
      </w:r>
      <w:r w:rsidR="00604838">
        <w:t xml:space="preserve">work in </w:t>
      </w:r>
      <w:r>
        <w:t>occupations that offer less financial reward and many high paying sectors are disproportionately made up of male workers.</w:t>
      </w:r>
    </w:p>
    <w:p w:rsidR="00410DD3" w:rsidRDefault="00410DD3" w:rsidP="00410DD3">
      <w:pPr>
        <w:pStyle w:val="ListParagraph"/>
        <w:numPr>
          <w:ilvl w:val="0"/>
          <w:numId w:val="7"/>
        </w:numPr>
        <w:spacing w:after="160" w:line="259" w:lineRule="auto"/>
      </w:pPr>
      <w:r>
        <w:t>A higher proportion of women work part-time, and part-time workers earn less than their full-time counterparts on average.</w:t>
      </w:r>
    </w:p>
    <w:p w:rsidR="00410DD3" w:rsidRDefault="00410DD3" w:rsidP="00410DD3">
      <w:pPr>
        <w:pStyle w:val="ListParagraph"/>
        <w:numPr>
          <w:ilvl w:val="0"/>
          <w:numId w:val="7"/>
        </w:numPr>
        <w:spacing w:after="160" w:line="259" w:lineRule="auto"/>
      </w:pPr>
      <w:r>
        <w:t xml:space="preserve">Women are still less likely to progress up the career ladder into high paying senior roles. </w:t>
      </w:r>
    </w:p>
    <w:p w:rsidR="00410DD3" w:rsidRDefault="00410DD3" w:rsidP="00AA0833">
      <w:r>
        <w:t>We are confident, based on previous equal pay audits that we have conducted and the consistent application of our job evaluation scheme and pay policies, that our pay gaps do not stem from paying male and female employees differently for the same or equivalent work.</w:t>
      </w:r>
    </w:p>
    <w:p w:rsidR="00410DD3" w:rsidRDefault="00410DD3" w:rsidP="00AA0833">
      <w:r>
        <w:t xml:space="preserve">The pattern that is evident across the UK economy as a whole is to </w:t>
      </w:r>
      <w:r w:rsidR="00FF5782">
        <w:t xml:space="preserve">an </w:t>
      </w:r>
      <w:r>
        <w:t xml:space="preserve">extent reflected in our workforce and the main reason for our pay gap is that a much higher proportion of males occupy jobs in the upper pay quartile. Whilst recognising that there is more than can be done, our pay framework and initiatives in relation to gender pay assist in ensuring that our pay gap is lower than the national average.  </w:t>
      </w:r>
    </w:p>
    <w:p w:rsidR="001B1ABF" w:rsidRDefault="001B1ABF" w:rsidP="001B1ABF">
      <w:pPr>
        <w:pStyle w:val="Heading2"/>
      </w:pPr>
      <w:bookmarkStart w:id="5" w:name="_Toc503255739"/>
      <w:r>
        <w:t>Me</w:t>
      </w:r>
      <w:r w:rsidR="00CB2689">
        <w:t>an</w:t>
      </w:r>
      <w:r>
        <w:t xml:space="preserve"> Bonus Pay Gap</w:t>
      </w:r>
      <w:bookmarkEnd w:id="5"/>
    </w:p>
    <w:p w:rsidR="001B1ABF" w:rsidRDefault="001B1ABF" w:rsidP="001B1ABF">
      <w:pPr>
        <w:pStyle w:val="NoSpacing"/>
      </w:pPr>
    </w:p>
    <w:p w:rsidR="00D03105" w:rsidRDefault="001B1ABF" w:rsidP="001B1ABF">
      <w:r>
        <w:t xml:space="preserve">The difference between the mean bonus pay paid to male </w:t>
      </w:r>
      <w:r w:rsidR="00D03105">
        <w:t xml:space="preserve">employees and that paid to female employees is </w:t>
      </w:r>
      <w:r w:rsidR="00604838">
        <w:t>54</w:t>
      </w:r>
      <w:r w:rsidR="00D03105">
        <w:t>.0%.</w:t>
      </w:r>
    </w:p>
    <w:p w:rsidR="00CB2689" w:rsidRDefault="00D03105" w:rsidP="001B1ABF">
      <w:r>
        <w:t>The mean bonus for a male was £</w:t>
      </w:r>
      <w:r w:rsidR="00604838">
        <w:t>709</w:t>
      </w:r>
      <w:r>
        <w:t>.</w:t>
      </w:r>
      <w:r w:rsidR="00604838">
        <w:t>78</w:t>
      </w:r>
      <w:r>
        <w:t xml:space="preserve"> and for a female it is £326.66. These figures are based on just 54 payments</w:t>
      </w:r>
      <w:r w:rsidR="00CB2689">
        <w:t xml:space="preserve"> and </w:t>
      </w:r>
      <w:r w:rsidR="00604838">
        <w:t>a small number of p</w:t>
      </w:r>
      <w:r w:rsidR="00CB2689">
        <w:t>ayments made to higher paid colleagues who are subject to a separate pay review process account for th</w:t>
      </w:r>
      <w:r w:rsidR="00410DD3">
        <w:t>is</w:t>
      </w:r>
      <w:r w:rsidR="00CB2689">
        <w:t xml:space="preserve"> anomaly</w:t>
      </w:r>
      <w:r>
        <w:t>.</w:t>
      </w:r>
    </w:p>
    <w:p w:rsidR="00CB2689" w:rsidRDefault="00CB2689" w:rsidP="00CB2689">
      <w:pPr>
        <w:pStyle w:val="Heading2"/>
      </w:pPr>
      <w:bookmarkStart w:id="6" w:name="_Toc503255740"/>
      <w:r>
        <w:t>Median Bonus Pay Gap</w:t>
      </w:r>
      <w:bookmarkEnd w:id="6"/>
    </w:p>
    <w:p w:rsidR="00CB2689" w:rsidRDefault="00CB2689" w:rsidP="00CB2689">
      <w:pPr>
        <w:pStyle w:val="NoSpacing"/>
      </w:pPr>
    </w:p>
    <w:p w:rsidR="00CB2689" w:rsidRDefault="00CB2689" w:rsidP="00CB2689">
      <w:r>
        <w:t>The difference between the median bonus pay paid to male employees and that paid to female employees is 0.0% i.e. there is no median bonus pay gap.</w:t>
      </w:r>
    </w:p>
    <w:p w:rsidR="00C23BF2" w:rsidRDefault="00C23BF2" w:rsidP="00CB2689">
      <w:r>
        <w:t xml:space="preserve">The median bonus for a male and female was £300 which is the amount that is paid </w:t>
      </w:r>
      <w:r w:rsidR="00410DD3">
        <w:t>i</w:t>
      </w:r>
      <w:r>
        <w:t>n vouchers for staff reaching 25 years’ service.</w:t>
      </w:r>
    </w:p>
    <w:p w:rsidR="00CB2689" w:rsidRDefault="00CB2689" w:rsidP="00CB2689">
      <w:pPr>
        <w:pStyle w:val="Heading2"/>
      </w:pPr>
      <w:bookmarkStart w:id="7" w:name="_Toc503255741"/>
      <w:r>
        <w:t>Proportion of Males and Females receiving a Bonus Payment</w:t>
      </w:r>
      <w:bookmarkEnd w:id="7"/>
    </w:p>
    <w:p w:rsidR="00CB2689" w:rsidRDefault="00CB2689" w:rsidP="00CB2689">
      <w:pPr>
        <w:pStyle w:val="NoSpacing"/>
      </w:pPr>
    </w:p>
    <w:p w:rsidR="00CB2689" w:rsidRDefault="00CB2689" w:rsidP="00CB2689">
      <w:r>
        <w:t>2.6% (35) of males received a bonus payment in the 12-month period up to 31 March 201</w:t>
      </w:r>
      <w:r w:rsidR="00410DD3">
        <w:t>7</w:t>
      </w:r>
      <w:r>
        <w:t xml:space="preserve"> and during this period 1.2% (19) of females received a bonus payment.</w:t>
      </w:r>
    </w:p>
    <w:p w:rsidR="007A3897" w:rsidRDefault="00C23BF2" w:rsidP="00CB2689">
      <w:r>
        <w:t>The majority (36) of these bonus payments were long-service awards and more males reached 25 years’ service in 2017.</w:t>
      </w:r>
    </w:p>
    <w:p w:rsidR="007A3897" w:rsidRDefault="007A3897" w:rsidP="007A3897">
      <w:pPr>
        <w:pStyle w:val="Heading2"/>
      </w:pPr>
      <w:bookmarkStart w:id="8" w:name="_Toc503255742"/>
      <w:r>
        <w:t>Proportion of Males and Females in each Quartile Band</w:t>
      </w:r>
      <w:bookmarkEnd w:id="8"/>
    </w:p>
    <w:p w:rsidR="007A3897" w:rsidRDefault="007A3897" w:rsidP="007A3897">
      <w:pPr>
        <w:pStyle w:val="NoSpacing"/>
      </w:pPr>
    </w:p>
    <w:p w:rsidR="007A3897" w:rsidRDefault="007A3897" w:rsidP="007A3897">
      <w:r>
        <w:t>The proportion of full-pay relevant male and female employees split by pay quartiles is set out in the table below. The split of all males and females is also given for context.</w:t>
      </w:r>
    </w:p>
    <w:tbl>
      <w:tblPr>
        <w:tblStyle w:val="TableGrid"/>
        <w:tblW w:w="0" w:type="auto"/>
        <w:tblLook w:val="04A0" w:firstRow="1" w:lastRow="0" w:firstColumn="1" w:lastColumn="0" w:noHBand="0" w:noVBand="1"/>
      </w:tblPr>
      <w:tblGrid>
        <w:gridCol w:w="3005"/>
        <w:gridCol w:w="3005"/>
        <w:gridCol w:w="3006"/>
      </w:tblGrid>
      <w:tr w:rsidR="007A3897" w:rsidTr="007A3897">
        <w:tc>
          <w:tcPr>
            <w:tcW w:w="3005" w:type="dxa"/>
            <w:shd w:val="clear" w:color="auto" w:fill="E6D5F3"/>
          </w:tcPr>
          <w:p w:rsidR="007A3897" w:rsidRDefault="007A3897" w:rsidP="007A3897">
            <w:r>
              <w:t>Quartile</w:t>
            </w:r>
          </w:p>
        </w:tc>
        <w:tc>
          <w:tcPr>
            <w:tcW w:w="3005" w:type="dxa"/>
            <w:shd w:val="clear" w:color="auto" w:fill="E6D5F3"/>
          </w:tcPr>
          <w:p w:rsidR="007A3897" w:rsidRDefault="007A3897" w:rsidP="007A3897">
            <w:pPr>
              <w:jc w:val="center"/>
            </w:pPr>
            <w:r>
              <w:t>Male</w:t>
            </w:r>
          </w:p>
        </w:tc>
        <w:tc>
          <w:tcPr>
            <w:tcW w:w="3006" w:type="dxa"/>
            <w:shd w:val="clear" w:color="auto" w:fill="E6D5F3"/>
          </w:tcPr>
          <w:p w:rsidR="007A3897" w:rsidRDefault="007A3897" w:rsidP="007A3897">
            <w:pPr>
              <w:jc w:val="center"/>
            </w:pPr>
            <w:r>
              <w:t>Female</w:t>
            </w:r>
          </w:p>
        </w:tc>
      </w:tr>
      <w:tr w:rsidR="007A3897" w:rsidTr="007A3897">
        <w:tc>
          <w:tcPr>
            <w:tcW w:w="3005" w:type="dxa"/>
          </w:tcPr>
          <w:p w:rsidR="007A3897" w:rsidRDefault="007A3897" w:rsidP="007A3897">
            <w:r>
              <w:t>Upper</w:t>
            </w:r>
          </w:p>
        </w:tc>
        <w:tc>
          <w:tcPr>
            <w:tcW w:w="3005" w:type="dxa"/>
          </w:tcPr>
          <w:p w:rsidR="007A3897" w:rsidRDefault="007A3897" w:rsidP="007A3897">
            <w:pPr>
              <w:jc w:val="center"/>
            </w:pPr>
            <w:r>
              <w:t>58.5%</w:t>
            </w:r>
          </w:p>
        </w:tc>
        <w:tc>
          <w:tcPr>
            <w:tcW w:w="3006" w:type="dxa"/>
          </w:tcPr>
          <w:p w:rsidR="007A3897" w:rsidRDefault="007A3897" w:rsidP="007A3897">
            <w:pPr>
              <w:jc w:val="center"/>
            </w:pPr>
            <w:r>
              <w:t>41.5%</w:t>
            </w:r>
          </w:p>
        </w:tc>
      </w:tr>
      <w:tr w:rsidR="007A3897" w:rsidTr="007A3897">
        <w:tc>
          <w:tcPr>
            <w:tcW w:w="3005" w:type="dxa"/>
          </w:tcPr>
          <w:p w:rsidR="007A3897" w:rsidRDefault="007A3897" w:rsidP="007A3897">
            <w:r>
              <w:t>Upper Middle</w:t>
            </w:r>
          </w:p>
        </w:tc>
        <w:tc>
          <w:tcPr>
            <w:tcW w:w="3005" w:type="dxa"/>
          </w:tcPr>
          <w:p w:rsidR="007A3897" w:rsidRDefault="007A3897" w:rsidP="007A3897">
            <w:pPr>
              <w:jc w:val="center"/>
            </w:pPr>
            <w:r>
              <w:t>45.6%</w:t>
            </w:r>
          </w:p>
        </w:tc>
        <w:tc>
          <w:tcPr>
            <w:tcW w:w="3006" w:type="dxa"/>
          </w:tcPr>
          <w:p w:rsidR="007A3897" w:rsidRDefault="007A3897" w:rsidP="007A3897">
            <w:pPr>
              <w:jc w:val="center"/>
            </w:pPr>
            <w:r>
              <w:t>54.4%</w:t>
            </w:r>
          </w:p>
        </w:tc>
      </w:tr>
      <w:tr w:rsidR="007A3897" w:rsidTr="007A3897">
        <w:tc>
          <w:tcPr>
            <w:tcW w:w="3005" w:type="dxa"/>
          </w:tcPr>
          <w:p w:rsidR="007A3897" w:rsidRDefault="007A3897" w:rsidP="007A3897">
            <w:r>
              <w:t>Lower Middle</w:t>
            </w:r>
          </w:p>
        </w:tc>
        <w:tc>
          <w:tcPr>
            <w:tcW w:w="3005" w:type="dxa"/>
          </w:tcPr>
          <w:p w:rsidR="007A3897" w:rsidRDefault="007A3897" w:rsidP="007A3897">
            <w:pPr>
              <w:jc w:val="center"/>
            </w:pPr>
            <w:r>
              <w:t>42.6%</w:t>
            </w:r>
          </w:p>
        </w:tc>
        <w:tc>
          <w:tcPr>
            <w:tcW w:w="3006" w:type="dxa"/>
          </w:tcPr>
          <w:p w:rsidR="007A3897" w:rsidRDefault="007A3897" w:rsidP="007A3897">
            <w:pPr>
              <w:jc w:val="center"/>
            </w:pPr>
            <w:r>
              <w:t>57.4%</w:t>
            </w:r>
          </w:p>
        </w:tc>
      </w:tr>
      <w:tr w:rsidR="007A3897" w:rsidTr="007A3897">
        <w:tc>
          <w:tcPr>
            <w:tcW w:w="3005" w:type="dxa"/>
          </w:tcPr>
          <w:p w:rsidR="007A3897" w:rsidRDefault="007A3897" w:rsidP="007A3897">
            <w:r>
              <w:t>Lower</w:t>
            </w:r>
          </w:p>
        </w:tc>
        <w:tc>
          <w:tcPr>
            <w:tcW w:w="3005" w:type="dxa"/>
          </w:tcPr>
          <w:p w:rsidR="007A3897" w:rsidRDefault="007A3897" w:rsidP="007A3897">
            <w:pPr>
              <w:jc w:val="center"/>
            </w:pPr>
            <w:r>
              <w:t>38.8%</w:t>
            </w:r>
          </w:p>
        </w:tc>
        <w:tc>
          <w:tcPr>
            <w:tcW w:w="3006" w:type="dxa"/>
          </w:tcPr>
          <w:p w:rsidR="007A3897" w:rsidRDefault="007A3897" w:rsidP="007A3897">
            <w:pPr>
              <w:jc w:val="center"/>
            </w:pPr>
            <w:r>
              <w:t>61.2%</w:t>
            </w:r>
          </w:p>
        </w:tc>
      </w:tr>
      <w:tr w:rsidR="007A3897" w:rsidTr="007A3897">
        <w:tc>
          <w:tcPr>
            <w:tcW w:w="3005" w:type="dxa"/>
          </w:tcPr>
          <w:p w:rsidR="007A3897" w:rsidRDefault="007A3897" w:rsidP="007A3897">
            <w:r>
              <w:t>All Relevant Staff</w:t>
            </w:r>
          </w:p>
        </w:tc>
        <w:tc>
          <w:tcPr>
            <w:tcW w:w="3005" w:type="dxa"/>
          </w:tcPr>
          <w:p w:rsidR="007A3897" w:rsidRDefault="007A3897" w:rsidP="007A3897">
            <w:pPr>
              <w:jc w:val="center"/>
            </w:pPr>
            <w:r>
              <w:t>46.4%</w:t>
            </w:r>
          </w:p>
        </w:tc>
        <w:tc>
          <w:tcPr>
            <w:tcW w:w="3006" w:type="dxa"/>
          </w:tcPr>
          <w:p w:rsidR="007A3897" w:rsidRDefault="007A3897" w:rsidP="007A3897">
            <w:pPr>
              <w:jc w:val="center"/>
            </w:pPr>
            <w:r>
              <w:t>53.6%</w:t>
            </w:r>
          </w:p>
        </w:tc>
      </w:tr>
    </w:tbl>
    <w:p w:rsidR="007A3897" w:rsidRDefault="007A3897" w:rsidP="007A3897">
      <w:pPr>
        <w:pStyle w:val="Heading2"/>
      </w:pPr>
      <w:bookmarkStart w:id="9" w:name="_Toc503255743"/>
      <w:r>
        <w:t>Key Findings</w:t>
      </w:r>
      <w:bookmarkEnd w:id="9"/>
    </w:p>
    <w:p w:rsidR="007A3897" w:rsidRDefault="007A3897" w:rsidP="007A3897">
      <w:pPr>
        <w:pStyle w:val="NoSpacing"/>
      </w:pPr>
    </w:p>
    <w:p w:rsidR="001743DD" w:rsidRDefault="007A3897" w:rsidP="007A3897">
      <w:r>
        <w:t xml:space="preserve">The </w:t>
      </w:r>
      <w:r w:rsidR="001743DD">
        <w:t xml:space="preserve">mean pay gap for our University is 10.2% and our median pay gap is 8.4%. This compares favourably against the national figures </w:t>
      </w:r>
      <w:r w:rsidR="00604838">
        <w:t xml:space="preserve">for the higher education sector </w:t>
      </w:r>
      <w:r w:rsidR="001743DD">
        <w:t>and demonstrate the effectiveness of our pay framework and related policies in addressing pay inequalities between male and female workers. However, we recognise that there is still more to do to reduce pay inequalities</w:t>
      </w:r>
      <w:r w:rsidR="00FF5782">
        <w:t>, inc</w:t>
      </w:r>
      <w:r w:rsidR="001743DD">
        <w:t>luding the bonus pay gap, and a number of the</w:t>
      </w:r>
      <w:r w:rsidR="00FF5782">
        <w:t xml:space="preserve"> ways in which we are working towards closing our gender pay gap </w:t>
      </w:r>
      <w:r w:rsidR="001743DD">
        <w:t>are set out in the next section of this report.</w:t>
      </w:r>
    </w:p>
    <w:p w:rsidR="001743DD" w:rsidRDefault="001743DD">
      <w:r>
        <w:br w:type="page"/>
      </w:r>
    </w:p>
    <w:p w:rsidR="001743DD" w:rsidRDefault="001743DD" w:rsidP="001743DD">
      <w:pPr>
        <w:pStyle w:val="Heading1"/>
      </w:pPr>
      <w:bookmarkStart w:id="10" w:name="_Toc503255744"/>
      <w:r>
        <w:t>Action Plan</w:t>
      </w:r>
      <w:bookmarkEnd w:id="10"/>
      <w:r>
        <w:t xml:space="preserve"> </w:t>
      </w:r>
    </w:p>
    <w:p w:rsidR="001743DD" w:rsidRDefault="001743DD" w:rsidP="001743DD">
      <w:pPr>
        <w:pStyle w:val="NoSpacing"/>
      </w:pPr>
    </w:p>
    <w:p w:rsidR="002602C5" w:rsidRDefault="002602C5" w:rsidP="001743DD">
      <w:r>
        <w:t>The University is working to close the gender pay gap through a range of positive initiatives which are outlined below.</w:t>
      </w:r>
    </w:p>
    <w:p w:rsidR="00737A3C" w:rsidRDefault="00737A3C" w:rsidP="001A3B0A">
      <w:pPr>
        <w:pStyle w:val="ListParagraph"/>
        <w:numPr>
          <w:ilvl w:val="0"/>
          <w:numId w:val="5"/>
        </w:numPr>
      </w:pPr>
      <w:r>
        <w:t xml:space="preserve">We introduced a new annual Academic Promotion Process in 2017 which resulted in </w:t>
      </w:r>
      <w:r w:rsidR="00DD2486">
        <w:t>16</w:t>
      </w:r>
      <w:r>
        <w:t xml:space="preserve"> males </w:t>
      </w:r>
      <w:r w:rsidR="00AB4DDE">
        <w:t xml:space="preserve">and </w:t>
      </w:r>
      <w:r w:rsidR="00DD2486">
        <w:t>18</w:t>
      </w:r>
      <w:r>
        <w:t xml:space="preserve"> females</w:t>
      </w:r>
      <w:r w:rsidR="00AB4DDE">
        <w:t xml:space="preserve"> being promoted.</w:t>
      </w:r>
    </w:p>
    <w:p w:rsidR="009A3FBE" w:rsidRDefault="009A3FBE" w:rsidP="009A3FBE">
      <w:pPr>
        <w:pStyle w:val="ListParagraph"/>
        <w:ind w:left="360"/>
      </w:pPr>
    </w:p>
    <w:p w:rsidR="00737A3C" w:rsidRDefault="00737A3C" w:rsidP="001A3B0A">
      <w:pPr>
        <w:pStyle w:val="ListParagraph"/>
        <w:numPr>
          <w:ilvl w:val="0"/>
          <w:numId w:val="5"/>
        </w:numPr>
      </w:pPr>
      <w:r>
        <w:t xml:space="preserve">We have a bronze award for the Athena SWAN Charter which recognises </w:t>
      </w:r>
      <w:r w:rsidR="00410DD3">
        <w:t xml:space="preserve">our </w:t>
      </w:r>
      <w:r>
        <w:t>commitment to advancing the careers of women and gender equality more broadly. Our action plan includes specific targets to increase the number of female applicants applying for certain academic positions.</w:t>
      </w:r>
    </w:p>
    <w:p w:rsidR="009A3FBE" w:rsidRDefault="009A3FBE" w:rsidP="009A3FBE">
      <w:pPr>
        <w:pStyle w:val="ListParagraph"/>
        <w:ind w:left="360"/>
      </w:pPr>
    </w:p>
    <w:p w:rsidR="00627893" w:rsidRDefault="00737A3C" w:rsidP="001A3B0A">
      <w:pPr>
        <w:pStyle w:val="ListParagraph"/>
        <w:numPr>
          <w:ilvl w:val="0"/>
          <w:numId w:val="5"/>
        </w:numPr>
      </w:pPr>
      <w:r>
        <w:t xml:space="preserve">We use positive action statements </w:t>
      </w:r>
      <w:r w:rsidR="00627893">
        <w:t>for jobs that are under-represented by females including Readers and Professors and will be doing more to identify and encourage female promotion candidates.</w:t>
      </w:r>
    </w:p>
    <w:p w:rsidR="009A3FBE" w:rsidRDefault="009A3FBE" w:rsidP="009A3FBE">
      <w:pPr>
        <w:pStyle w:val="ListParagraph"/>
        <w:ind w:left="360"/>
      </w:pPr>
    </w:p>
    <w:p w:rsidR="002602C5" w:rsidRDefault="00627893" w:rsidP="001A3B0A">
      <w:pPr>
        <w:pStyle w:val="ListParagraph"/>
        <w:numPr>
          <w:ilvl w:val="0"/>
          <w:numId w:val="5"/>
        </w:numPr>
      </w:pPr>
      <w:r>
        <w:t>We are increasing the number of female STEM (science, technology, engineering, maths and medicine) academics that attend Leadership/Man</w:t>
      </w:r>
      <w:r w:rsidR="00494A8C">
        <w:t>a</w:t>
      </w:r>
      <w:r>
        <w:t>gement</w:t>
      </w:r>
      <w:r w:rsidR="00494A8C">
        <w:t xml:space="preserve"> development courses including Aurora, Coaching, Mentoring, Leadership Foundation accredited development and our in-house people development programme.</w:t>
      </w:r>
      <w:r>
        <w:t xml:space="preserve">  </w:t>
      </w:r>
      <w:r w:rsidR="00737A3C">
        <w:t xml:space="preserve">  </w:t>
      </w:r>
    </w:p>
    <w:p w:rsidR="009A3FBE" w:rsidRDefault="009A3FBE" w:rsidP="009A3FBE">
      <w:pPr>
        <w:pStyle w:val="ListParagraph"/>
        <w:ind w:left="360"/>
      </w:pPr>
    </w:p>
    <w:p w:rsidR="00494A8C" w:rsidRDefault="00494A8C" w:rsidP="001A3B0A">
      <w:pPr>
        <w:pStyle w:val="ListParagraph"/>
        <w:numPr>
          <w:ilvl w:val="0"/>
          <w:numId w:val="5"/>
        </w:numPr>
      </w:pPr>
      <w:r>
        <w:t>We are reviewing the practical applications for maternity and adoption leave arrangements and other career breaks to ensure that specific support is put in place that reduces the likelihood of any break having a detrimental impact on career progression</w:t>
      </w:r>
      <w:r w:rsidR="00FA5583">
        <w:t xml:space="preserve"> including the promotion of more flexible working opportunities</w:t>
      </w:r>
      <w:r>
        <w:t>.</w:t>
      </w:r>
    </w:p>
    <w:p w:rsidR="009A3FBE" w:rsidRDefault="009A3FBE" w:rsidP="009A3FBE">
      <w:pPr>
        <w:pStyle w:val="ListParagraph"/>
        <w:ind w:left="360"/>
      </w:pPr>
    </w:p>
    <w:p w:rsidR="00AB4DDE" w:rsidRDefault="00AB4DDE" w:rsidP="001A3B0A">
      <w:pPr>
        <w:pStyle w:val="ListParagraph"/>
        <w:numPr>
          <w:ilvl w:val="0"/>
          <w:numId w:val="5"/>
        </w:numPr>
      </w:pPr>
      <w:r>
        <w:t>We are introducing a new workload allocation model across academic areas and will monitor it to ensure that distribution across teaching, learning, research and service activities ensures that men and women are equally involved in service roles.</w:t>
      </w:r>
    </w:p>
    <w:p w:rsidR="009A3FBE" w:rsidRDefault="009A3FBE" w:rsidP="009A3FBE">
      <w:pPr>
        <w:pStyle w:val="ListParagraph"/>
        <w:ind w:left="360"/>
      </w:pPr>
    </w:p>
    <w:p w:rsidR="00FA5583" w:rsidRDefault="00FA5583" w:rsidP="001A3B0A">
      <w:pPr>
        <w:pStyle w:val="ListParagraph"/>
        <w:numPr>
          <w:ilvl w:val="0"/>
          <w:numId w:val="5"/>
        </w:numPr>
      </w:pPr>
      <w:r>
        <w:t>In 2017 w</w:t>
      </w:r>
      <w:r w:rsidR="009A3FBE">
        <w:t xml:space="preserve">e established a new cross </w:t>
      </w:r>
      <w:r>
        <w:t>University Gender conference to showcase the range of good work in this area.</w:t>
      </w:r>
    </w:p>
    <w:p w:rsidR="009A3FBE" w:rsidRDefault="009A3FBE" w:rsidP="009A3FBE">
      <w:pPr>
        <w:pStyle w:val="ListParagraph"/>
        <w:ind w:left="360"/>
      </w:pPr>
    </w:p>
    <w:p w:rsidR="0017268B" w:rsidRDefault="00FA5583" w:rsidP="001A3B0A">
      <w:pPr>
        <w:pStyle w:val="ListParagraph"/>
        <w:numPr>
          <w:ilvl w:val="0"/>
          <w:numId w:val="5"/>
        </w:numPr>
      </w:pPr>
      <w:r>
        <w:t xml:space="preserve">In 2017 we introduced a new annual pay review process for all staff paid above </w:t>
      </w:r>
      <w:r w:rsidR="009A3FBE">
        <w:t>our</w:t>
      </w:r>
      <w:r>
        <w:t xml:space="preserve"> main pay spine which will ensure that more timely decisions are made about salary progression and have due regard to gender pay.</w:t>
      </w:r>
    </w:p>
    <w:p w:rsidR="009A3FBE" w:rsidRDefault="009A3FBE" w:rsidP="009A3FBE">
      <w:pPr>
        <w:pStyle w:val="ListParagraph"/>
        <w:ind w:left="360"/>
      </w:pPr>
    </w:p>
    <w:p w:rsidR="00AB4DDE" w:rsidRDefault="0017268B" w:rsidP="001A3B0A">
      <w:pPr>
        <w:pStyle w:val="ListParagraph"/>
        <w:numPr>
          <w:ilvl w:val="0"/>
          <w:numId w:val="5"/>
        </w:numPr>
      </w:pPr>
      <w:r>
        <w:t>We are considering changing our PDR (Performance Development and Review) process to place more emphasis on career development and promotion opportunities of all staff.</w:t>
      </w:r>
    </w:p>
    <w:p w:rsidR="009A3FBE" w:rsidRDefault="009A3FBE" w:rsidP="009A3FBE">
      <w:pPr>
        <w:pStyle w:val="ListParagraph"/>
        <w:ind w:left="360"/>
      </w:pPr>
    </w:p>
    <w:p w:rsidR="00426361" w:rsidRPr="00426361" w:rsidRDefault="00AB4DDE" w:rsidP="00426361">
      <w:pPr>
        <w:pStyle w:val="ListParagraph"/>
        <w:numPr>
          <w:ilvl w:val="0"/>
          <w:numId w:val="5"/>
        </w:numPr>
        <w:sectPr w:rsidR="00426361" w:rsidRPr="00426361" w:rsidSect="00B54EB2">
          <w:headerReference w:type="even" r:id="rId11"/>
          <w:headerReference w:type="default" r:id="rId12"/>
          <w:footerReference w:type="default" r:id="rId13"/>
          <w:headerReference w:type="first" r:id="rId14"/>
          <w:footerReference w:type="first" r:id="rId15"/>
          <w:pgSz w:w="11906" w:h="16838"/>
          <w:pgMar w:top="1440" w:right="1440" w:bottom="2127" w:left="1440" w:header="708" w:footer="1837" w:gutter="0"/>
          <w:cols w:space="708"/>
          <w:titlePg/>
          <w:docGrid w:linePitch="360"/>
        </w:sectPr>
      </w:pPr>
      <w:r>
        <w:t xml:space="preserve">We will continue to monitor our pay and reward arrangements to ensure that decisions are made in line with existing policies that are free from any gender bias and explore the reasons for any </w:t>
      </w:r>
      <w:r w:rsidR="009A3FBE">
        <w:t xml:space="preserve">potential </w:t>
      </w:r>
      <w:r>
        <w:t>anomalies.</w:t>
      </w:r>
      <w:r w:rsidR="0017268B">
        <w:t xml:space="preserve"> </w:t>
      </w:r>
    </w:p>
    <w:p w:rsidR="00B54EB2" w:rsidRDefault="00B54EB2" w:rsidP="00E32433">
      <w:pPr>
        <w:rPr>
          <w:lang w:eastAsia="en-GB"/>
        </w:rPr>
      </w:pPr>
    </w:p>
    <w:sectPr w:rsidR="00B54EB2" w:rsidSect="00B54EB2">
      <w:headerReference w:type="first" r:id="rId16"/>
      <w:type w:val="continuous"/>
      <w:pgSz w:w="11906" w:h="16838"/>
      <w:pgMar w:top="1440" w:right="1440" w:bottom="2127" w:left="1440" w:header="709" w:footer="18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141" w:rsidRDefault="00A73141" w:rsidP="001B66F1">
      <w:pPr>
        <w:spacing w:after="0" w:line="240" w:lineRule="auto"/>
      </w:pPr>
      <w:r>
        <w:separator/>
      </w:r>
    </w:p>
  </w:endnote>
  <w:endnote w:type="continuationSeparator" w:id="0">
    <w:p w:rsidR="00A73141" w:rsidRDefault="00A73141" w:rsidP="001B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y T">
    <w:altName w:val="Myriad Pro Cond"/>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F8" w:rsidRDefault="00E65A2F">
    <w:pPr>
      <w:pStyle w:val="Foote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5862955</wp:posOffset>
              </wp:positionH>
              <wp:positionV relativeFrom="paragraph">
                <wp:posOffset>847725</wp:posOffset>
              </wp:positionV>
              <wp:extent cx="304800" cy="303530"/>
              <wp:effectExtent l="0" t="0" r="4445"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9F8" w:rsidRPr="00F819F8" w:rsidRDefault="00E7359F" w:rsidP="00F819F8">
                          <w:pPr>
                            <w:rPr>
                              <w:color w:val="808080" w:themeColor="background1" w:themeShade="80"/>
                            </w:rPr>
                          </w:pPr>
                          <w:r w:rsidRPr="00F819F8">
                            <w:rPr>
                              <w:color w:val="808080" w:themeColor="background1" w:themeShade="80"/>
                            </w:rPr>
                            <w:fldChar w:fldCharType="begin"/>
                          </w:r>
                          <w:r w:rsidR="00F819F8" w:rsidRPr="00F819F8">
                            <w:rPr>
                              <w:color w:val="808080" w:themeColor="background1" w:themeShade="80"/>
                            </w:rPr>
                            <w:instrText xml:space="preserve"> PAGE   \* MERGEFORMAT </w:instrText>
                          </w:r>
                          <w:r w:rsidRPr="00F819F8">
                            <w:rPr>
                              <w:color w:val="808080" w:themeColor="background1" w:themeShade="80"/>
                            </w:rPr>
                            <w:fldChar w:fldCharType="separate"/>
                          </w:r>
                          <w:r w:rsidR="000B4A56">
                            <w:rPr>
                              <w:noProof/>
                              <w:color w:val="808080" w:themeColor="background1" w:themeShade="80"/>
                            </w:rPr>
                            <w:t>7</w:t>
                          </w:r>
                          <w:r w:rsidRPr="00F819F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61.65pt;margin-top:66.75pt;width:24pt;height:2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WgtwIAALg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" filled="f" stroked="f">
              <v:textbox>
                <w:txbxContent>
                  <w:p w:rsidR="00F819F8" w:rsidRPr="00F819F8" w:rsidRDefault="00E7359F" w:rsidP="00F819F8">
                    <w:pPr>
                      <w:rPr>
                        <w:color w:val="808080" w:themeColor="background1" w:themeShade="80"/>
                      </w:rPr>
                    </w:pPr>
                    <w:r w:rsidRPr="00F819F8">
                      <w:rPr>
                        <w:color w:val="808080" w:themeColor="background1" w:themeShade="80"/>
                      </w:rPr>
                      <w:fldChar w:fldCharType="begin"/>
                    </w:r>
                    <w:r w:rsidR="00F819F8" w:rsidRPr="00F819F8">
                      <w:rPr>
                        <w:color w:val="808080" w:themeColor="background1" w:themeShade="80"/>
                      </w:rPr>
                      <w:instrText xml:space="preserve"> PAGE   \* MERGEFORMAT </w:instrText>
                    </w:r>
                    <w:r w:rsidRPr="00F819F8">
                      <w:rPr>
                        <w:color w:val="808080" w:themeColor="background1" w:themeShade="80"/>
                      </w:rPr>
                      <w:fldChar w:fldCharType="separate"/>
                    </w:r>
                    <w:r w:rsidR="000B4A56">
                      <w:rPr>
                        <w:noProof/>
                        <w:color w:val="808080" w:themeColor="background1" w:themeShade="80"/>
                      </w:rPr>
                      <w:t>7</w:t>
                    </w:r>
                    <w:r w:rsidRPr="00F819F8">
                      <w:rPr>
                        <w:color w:val="808080" w:themeColor="background1" w:themeShade="8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60" w:rsidRDefault="00D56C6B">
    <w:pPr>
      <w:pStyle w:val="Footer"/>
    </w:pPr>
    <w:r>
      <w:rPr>
        <w:noProof/>
        <w:lang w:eastAsia="en-GB"/>
      </w:rPr>
      <w:drawing>
        <wp:anchor distT="0" distB="0" distL="114300" distR="114300" simplePos="0" relativeHeight="251673600" behindDoc="1" locked="0" layoutInCell="1" allowOverlap="1">
          <wp:simplePos x="0" y="0"/>
          <wp:positionH relativeFrom="column">
            <wp:posOffset>4335780</wp:posOffset>
          </wp:positionH>
          <wp:positionV relativeFrom="paragraph">
            <wp:posOffset>-471170</wp:posOffset>
          </wp:positionV>
          <wp:extent cx="1851660" cy="1605280"/>
          <wp:effectExtent l="19050" t="0" r="0" b="0"/>
          <wp:wrapTight wrapText="bothSides">
            <wp:wrapPolygon edited="0">
              <wp:start x="19778" y="0"/>
              <wp:lineTo x="-222" y="3845"/>
              <wp:lineTo x="-222" y="21275"/>
              <wp:lineTo x="21556" y="21275"/>
              <wp:lineTo x="21556" y="0"/>
              <wp:lineTo x="19778" y="0"/>
            </wp:wrapPolygon>
          </wp:wrapTight>
          <wp:docPr id="3"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851660" cy="1605280"/>
                  </a:xfrm>
                  <a:prstGeom prst="rect">
                    <a:avLst/>
                  </a:prstGeom>
                </pic:spPr>
              </pic:pic>
            </a:graphicData>
          </a:graphic>
        </wp:anchor>
      </w:drawing>
    </w:r>
    <w:r w:rsidR="00E65A2F">
      <w:rPr>
        <w:noProof/>
        <w:lang w:eastAsia="en-GB"/>
      </w:rPr>
      <mc:AlternateContent>
        <mc:Choice Requires="wps">
          <w:drawing>
            <wp:anchor distT="0" distB="0" distL="114300" distR="114300" simplePos="0" relativeHeight="251669504" behindDoc="0" locked="0" layoutInCell="1" allowOverlap="1">
              <wp:simplePos x="0" y="0"/>
              <wp:positionH relativeFrom="column">
                <wp:posOffset>5760085</wp:posOffset>
              </wp:positionH>
              <wp:positionV relativeFrom="paragraph">
                <wp:posOffset>1524635</wp:posOffset>
              </wp:positionV>
              <wp:extent cx="304800" cy="303530"/>
              <wp:effectExtent l="0" t="635" r="2540" b="63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860" w:rsidRPr="00F819F8" w:rsidRDefault="007A3860" w:rsidP="00F819F8">
                          <w:pPr>
                            <w:rPr>
                              <w:color w:val="808080" w:themeColor="background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453.55pt;margin-top:120.05pt;width:24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1yuw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" filled="f" stroked="f">
              <v:textbox>
                <w:txbxContent>
                  <w:p w:rsidR="007A3860" w:rsidRPr="00F819F8" w:rsidRDefault="007A3860" w:rsidP="00F819F8">
                    <w:pPr>
                      <w:rPr>
                        <w:color w:val="808080" w:themeColor="background1" w:themeShade="8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141" w:rsidRDefault="00A73141" w:rsidP="001B66F1">
      <w:pPr>
        <w:spacing w:after="0" w:line="240" w:lineRule="auto"/>
      </w:pPr>
      <w:r>
        <w:separator/>
      </w:r>
    </w:p>
  </w:footnote>
  <w:footnote w:type="continuationSeparator" w:id="0">
    <w:p w:rsidR="00A73141" w:rsidRDefault="00A73141" w:rsidP="001B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F1" w:rsidRDefault="00A731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4506" o:spid="_x0000_s2053" type="#_x0000_t75" style="position:absolute;margin-left:0;margin-top:0;width:595.75pt;height:842pt;z-index:-251655168;mso-position-horizontal:center;mso-position-horizontal-relative:margin;mso-position-vertical:center;mso-position-vertical-relative:margin" o:allowincell="f">
          <v:imagedata r:id="rId1" o:title="10020_MSO_Stationery_LBU_Temps_Word2" gain="19661f" blacklevel="22938f"/>
          <w10:wrap anchorx="margin" anchory="margin"/>
        </v:shape>
      </w:pict>
    </w:r>
    <w:r>
      <w:rPr>
        <w:noProof/>
        <w:lang w:eastAsia="en-GB"/>
      </w:rPr>
      <w:pict>
        <v:shape id="WordPictureWatermark2052334" o:spid="_x0000_s2050" type="#_x0000_t75" style="position:absolute;margin-left:0;margin-top:0;width:595.75pt;height:842pt;z-index:-251657216;mso-position-horizontal:center;mso-position-horizontal-relative:margin;mso-position-vertical:center;mso-position-vertical-relative:margin" o:allowincell="f">
          <v:imagedata r:id="rId2" o:title="10020_MSO_Stationery_LBU_Temps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A2F" w:rsidRPr="00E65A2F" w:rsidRDefault="00E65A2F" w:rsidP="00E65A2F">
    <w:pPr>
      <w:pStyle w:val="Title"/>
      <w:rPr>
        <w:rFonts w:ascii="Aveny T" w:hAnsi="Aveny T"/>
        <w:sz w:val="28"/>
        <w:szCs w:val="28"/>
      </w:rPr>
    </w:pPr>
    <w:r w:rsidRPr="00E65A2F">
      <w:rPr>
        <w:rFonts w:ascii="Aveny T" w:hAnsi="Aveny T"/>
        <w:sz w:val="28"/>
        <w:szCs w:val="28"/>
      </w:rPr>
      <w:t>Leeds Beckett University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27E" w:rsidRDefault="00D56C6B">
    <w:pPr>
      <w:pStyle w:val="Header"/>
    </w:pPr>
    <w:r>
      <w:rPr>
        <w:noProof/>
        <w:lang w:eastAsia="en-GB"/>
      </w:rPr>
      <w:drawing>
        <wp:anchor distT="0" distB="0" distL="114300" distR="114300" simplePos="0" relativeHeight="251672576" behindDoc="1" locked="0" layoutInCell="1" allowOverlap="1">
          <wp:simplePos x="0" y="0"/>
          <wp:positionH relativeFrom="column">
            <wp:posOffset>-991043</wp:posOffset>
          </wp:positionH>
          <wp:positionV relativeFrom="paragraph">
            <wp:posOffset>-438947</wp:posOffset>
          </wp:positionV>
          <wp:extent cx="7753350" cy="10675088"/>
          <wp:effectExtent l="19050" t="0" r="0" b="0"/>
          <wp:wrapNone/>
          <wp:docPr id="2" name="Picture 1" descr="leedsbeckett for mar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beckett for marc3.jpg"/>
                  <pic:cNvPicPr/>
                </pic:nvPicPr>
                <pic:blipFill>
                  <a:blip r:embed="rId1"/>
                  <a:stretch>
                    <a:fillRect/>
                  </a:stretch>
                </pic:blipFill>
                <pic:spPr>
                  <a:xfrm>
                    <a:off x="0" y="0"/>
                    <a:ext cx="7753350" cy="10675088"/>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860" w:rsidRDefault="00E65A2F">
    <w:pPr>
      <w:pStyle w:val="Header"/>
    </w:pPr>
    <w:r>
      <w:rPr>
        <w:noProof/>
        <w:lang w:eastAsia="en-GB"/>
      </w:rPr>
      <w:drawing>
        <wp:anchor distT="0" distB="0" distL="114300" distR="114300" simplePos="0" relativeHeight="251670528" behindDoc="1" locked="0" layoutInCell="0" allowOverlap="1">
          <wp:simplePos x="0" y="0"/>
          <wp:positionH relativeFrom="margin">
            <wp:posOffset>-765175</wp:posOffset>
          </wp:positionH>
          <wp:positionV relativeFrom="margin">
            <wp:posOffset>-621030</wp:posOffset>
          </wp:positionV>
          <wp:extent cx="7566025" cy="10693400"/>
          <wp:effectExtent l="0" t="0" r="0" b="0"/>
          <wp:wrapNone/>
          <wp:docPr id="1" name="Picture 1" descr="10020_MSO_Stationery_LBU_Temps_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020_MSO_Stationery_LBU_Temps_Word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566025" cy="10693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5895975</wp:posOffset>
              </wp:positionH>
              <wp:positionV relativeFrom="paragraph">
                <wp:posOffset>9789160</wp:posOffset>
              </wp:positionV>
              <wp:extent cx="304800" cy="303530"/>
              <wp:effectExtent l="0" t="0" r="0" b="381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860" w:rsidRPr="00F819F8" w:rsidRDefault="00E7359F" w:rsidP="007A3860">
                          <w:pPr>
                            <w:rPr>
                              <w:color w:val="808080" w:themeColor="background1" w:themeShade="80"/>
                            </w:rPr>
                          </w:pPr>
                          <w:r w:rsidRPr="00F819F8">
                            <w:rPr>
                              <w:color w:val="808080" w:themeColor="background1" w:themeShade="80"/>
                            </w:rPr>
                            <w:fldChar w:fldCharType="begin"/>
                          </w:r>
                          <w:r w:rsidR="007A3860" w:rsidRPr="00F819F8">
                            <w:rPr>
                              <w:color w:val="808080" w:themeColor="background1" w:themeShade="80"/>
                            </w:rPr>
                            <w:instrText xml:space="preserve"> PAGE   \* MERGEFORMAT </w:instrText>
                          </w:r>
                          <w:r w:rsidRPr="00F819F8">
                            <w:rPr>
                              <w:color w:val="808080" w:themeColor="background1" w:themeShade="80"/>
                            </w:rPr>
                            <w:fldChar w:fldCharType="separate"/>
                          </w:r>
                          <w:r w:rsidR="00A3089A">
                            <w:rPr>
                              <w:noProof/>
                              <w:color w:val="808080" w:themeColor="background1" w:themeShade="80"/>
                            </w:rPr>
                            <w:t>8</w:t>
                          </w:r>
                          <w:r w:rsidRPr="00F819F8">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464.25pt;margin-top:770.8pt;width:24pt;height: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xSuwIAAMA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" filled="f" stroked="f">
              <v:textbox>
                <w:txbxContent>
                  <w:p w:rsidR="007A3860" w:rsidRPr="00F819F8" w:rsidRDefault="00E7359F" w:rsidP="007A3860">
                    <w:pPr>
                      <w:rPr>
                        <w:color w:val="808080" w:themeColor="background1" w:themeShade="80"/>
                      </w:rPr>
                    </w:pPr>
                    <w:r w:rsidRPr="00F819F8">
                      <w:rPr>
                        <w:color w:val="808080" w:themeColor="background1" w:themeShade="80"/>
                      </w:rPr>
                      <w:fldChar w:fldCharType="begin"/>
                    </w:r>
                    <w:r w:rsidR="007A3860" w:rsidRPr="00F819F8">
                      <w:rPr>
                        <w:color w:val="808080" w:themeColor="background1" w:themeShade="80"/>
                      </w:rPr>
                      <w:instrText xml:space="preserve"> PAGE   \* MERGEFORMAT </w:instrText>
                    </w:r>
                    <w:r w:rsidRPr="00F819F8">
                      <w:rPr>
                        <w:color w:val="808080" w:themeColor="background1" w:themeShade="80"/>
                      </w:rPr>
                      <w:fldChar w:fldCharType="separate"/>
                    </w:r>
                    <w:r w:rsidR="00A3089A">
                      <w:rPr>
                        <w:noProof/>
                        <w:color w:val="808080" w:themeColor="background1" w:themeShade="80"/>
                      </w:rPr>
                      <w:t>8</w:t>
                    </w:r>
                    <w:r w:rsidRPr="00F819F8">
                      <w:rPr>
                        <w:color w:val="808080" w:themeColor="background1" w:themeShade="8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13536"/>
    <w:multiLevelType w:val="hybridMultilevel"/>
    <w:tmpl w:val="372C0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5445B2"/>
    <w:multiLevelType w:val="hybridMultilevel"/>
    <w:tmpl w:val="1E5AC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6801DE"/>
    <w:multiLevelType w:val="hybridMultilevel"/>
    <w:tmpl w:val="9EAA8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201BEA"/>
    <w:multiLevelType w:val="multilevel"/>
    <w:tmpl w:val="2BE0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674F7"/>
    <w:multiLevelType w:val="hybridMultilevel"/>
    <w:tmpl w:val="A6B6351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15049F"/>
    <w:multiLevelType w:val="multilevel"/>
    <w:tmpl w:val="E7A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A60C7"/>
    <w:multiLevelType w:val="hybridMultilevel"/>
    <w:tmpl w:val="E4D0C2C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41"/>
    <w:rsid w:val="00030D90"/>
    <w:rsid w:val="00047F6E"/>
    <w:rsid w:val="000540F2"/>
    <w:rsid w:val="000915EF"/>
    <w:rsid w:val="000B4A56"/>
    <w:rsid w:val="000E33F0"/>
    <w:rsid w:val="000F11FA"/>
    <w:rsid w:val="00123D59"/>
    <w:rsid w:val="00135241"/>
    <w:rsid w:val="0017268B"/>
    <w:rsid w:val="001743DD"/>
    <w:rsid w:val="001A3B0A"/>
    <w:rsid w:val="001B1ABF"/>
    <w:rsid w:val="001B66F1"/>
    <w:rsid w:val="001D2855"/>
    <w:rsid w:val="0025160F"/>
    <w:rsid w:val="002602C5"/>
    <w:rsid w:val="002C74E4"/>
    <w:rsid w:val="003A7949"/>
    <w:rsid w:val="0040535D"/>
    <w:rsid w:val="00410DD3"/>
    <w:rsid w:val="004200C3"/>
    <w:rsid w:val="00420451"/>
    <w:rsid w:val="00426361"/>
    <w:rsid w:val="00494A8C"/>
    <w:rsid w:val="004F072A"/>
    <w:rsid w:val="00543F22"/>
    <w:rsid w:val="005F341D"/>
    <w:rsid w:val="005F3CC8"/>
    <w:rsid w:val="00604838"/>
    <w:rsid w:val="00627893"/>
    <w:rsid w:val="006E027E"/>
    <w:rsid w:val="0071054A"/>
    <w:rsid w:val="0072232E"/>
    <w:rsid w:val="007355E7"/>
    <w:rsid w:val="00735CA7"/>
    <w:rsid w:val="00737A3C"/>
    <w:rsid w:val="007A3860"/>
    <w:rsid w:val="007A3897"/>
    <w:rsid w:val="007E3847"/>
    <w:rsid w:val="0084728C"/>
    <w:rsid w:val="008C6335"/>
    <w:rsid w:val="0093273A"/>
    <w:rsid w:val="009503F8"/>
    <w:rsid w:val="00954D51"/>
    <w:rsid w:val="009A3FBE"/>
    <w:rsid w:val="009D2754"/>
    <w:rsid w:val="009F39AD"/>
    <w:rsid w:val="00A017B0"/>
    <w:rsid w:val="00A3089A"/>
    <w:rsid w:val="00A709E7"/>
    <w:rsid w:val="00A73141"/>
    <w:rsid w:val="00AA0833"/>
    <w:rsid w:val="00AA4618"/>
    <w:rsid w:val="00AB4DDE"/>
    <w:rsid w:val="00B50A78"/>
    <w:rsid w:val="00B54EB2"/>
    <w:rsid w:val="00B75FA0"/>
    <w:rsid w:val="00BA00F5"/>
    <w:rsid w:val="00BC000C"/>
    <w:rsid w:val="00BD5957"/>
    <w:rsid w:val="00C23BF2"/>
    <w:rsid w:val="00C7259C"/>
    <w:rsid w:val="00C771D1"/>
    <w:rsid w:val="00CB2689"/>
    <w:rsid w:val="00CB3422"/>
    <w:rsid w:val="00D03105"/>
    <w:rsid w:val="00D3060F"/>
    <w:rsid w:val="00D56C6B"/>
    <w:rsid w:val="00DD2486"/>
    <w:rsid w:val="00DE1BCD"/>
    <w:rsid w:val="00DE240D"/>
    <w:rsid w:val="00DE476D"/>
    <w:rsid w:val="00DF5E72"/>
    <w:rsid w:val="00E22F9A"/>
    <w:rsid w:val="00E32433"/>
    <w:rsid w:val="00E65A2F"/>
    <w:rsid w:val="00E676EA"/>
    <w:rsid w:val="00E7359F"/>
    <w:rsid w:val="00EE0BB6"/>
    <w:rsid w:val="00EE58A5"/>
    <w:rsid w:val="00F30F54"/>
    <w:rsid w:val="00F6592F"/>
    <w:rsid w:val="00F819F8"/>
    <w:rsid w:val="00FA5583"/>
    <w:rsid w:val="00FE0A8D"/>
    <w:rsid w:val="00FF5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465F6FD-1A3A-4AC3-A70B-53D8182A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61"/>
    <w:rPr>
      <w:rFonts w:ascii="Arial" w:hAnsi="Arial"/>
      <w:color w:val="191919"/>
    </w:rPr>
  </w:style>
  <w:style w:type="paragraph" w:styleId="Heading1">
    <w:name w:val="heading 1"/>
    <w:basedOn w:val="Normal"/>
    <w:next w:val="Normal"/>
    <w:link w:val="Heading1Char"/>
    <w:uiPriority w:val="9"/>
    <w:qFormat/>
    <w:rsid w:val="00426361"/>
    <w:pPr>
      <w:keepNext/>
      <w:keepLines/>
      <w:spacing w:before="480" w:after="0"/>
      <w:outlineLvl w:val="0"/>
    </w:pPr>
    <w:rPr>
      <w:rFonts w:eastAsiaTheme="majorEastAsia" w:cstheme="majorBidi"/>
      <w:b/>
      <w:bCs/>
      <w:color w:val="2E1251"/>
      <w:sz w:val="36"/>
      <w:szCs w:val="28"/>
    </w:rPr>
  </w:style>
  <w:style w:type="paragraph" w:styleId="Heading2">
    <w:name w:val="heading 2"/>
    <w:basedOn w:val="Normal"/>
    <w:next w:val="Normal"/>
    <w:link w:val="Heading2Char"/>
    <w:uiPriority w:val="9"/>
    <w:unhideWhenUsed/>
    <w:qFormat/>
    <w:rsid w:val="00426361"/>
    <w:pPr>
      <w:keepNext/>
      <w:keepLines/>
      <w:spacing w:before="200" w:after="0"/>
      <w:outlineLvl w:val="1"/>
    </w:pPr>
    <w:rPr>
      <w:rFonts w:eastAsiaTheme="majorEastAsia" w:cstheme="majorBidi"/>
      <w:b/>
      <w:bCs/>
      <w:color w:val="2E1251"/>
      <w:sz w:val="26"/>
      <w:szCs w:val="26"/>
    </w:rPr>
  </w:style>
  <w:style w:type="paragraph" w:styleId="Heading3">
    <w:name w:val="heading 3"/>
    <w:basedOn w:val="Normal"/>
    <w:next w:val="Normal"/>
    <w:link w:val="Heading3Char"/>
    <w:uiPriority w:val="9"/>
    <w:semiHidden/>
    <w:unhideWhenUsed/>
    <w:qFormat/>
    <w:rsid w:val="00426361"/>
    <w:pPr>
      <w:keepNext/>
      <w:keepLines/>
      <w:spacing w:before="200" w:after="0"/>
      <w:outlineLvl w:val="2"/>
    </w:pPr>
    <w:rPr>
      <w:rFonts w:asciiTheme="majorHAnsi" w:eastAsiaTheme="majorEastAsia" w:hAnsiTheme="majorHAnsi" w:cstheme="majorBidi"/>
      <w:b/>
      <w:bCs/>
      <w:color w:val="2E12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6F1"/>
  </w:style>
  <w:style w:type="paragraph" w:styleId="Footer">
    <w:name w:val="footer"/>
    <w:basedOn w:val="Normal"/>
    <w:link w:val="FooterChar"/>
    <w:uiPriority w:val="99"/>
    <w:unhideWhenUsed/>
    <w:rsid w:val="001B6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6F1"/>
  </w:style>
  <w:style w:type="character" w:styleId="PlaceholderText">
    <w:name w:val="Placeholder Text"/>
    <w:basedOn w:val="DefaultParagraphFont"/>
    <w:uiPriority w:val="99"/>
    <w:semiHidden/>
    <w:rsid w:val="001B66F1"/>
    <w:rPr>
      <w:color w:val="808080"/>
    </w:rPr>
  </w:style>
  <w:style w:type="paragraph" w:styleId="BalloonText">
    <w:name w:val="Balloon Text"/>
    <w:basedOn w:val="Normal"/>
    <w:link w:val="BalloonTextChar"/>
    <w:uiPriority w:val="99"/>
    <w:semiHidden/>
    <w:unhideWhenUsed/>
    <w:rsid w:val="001B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F1"/>
    <w:rPr>
      <w:rFonts w:ascii="Tahoma" w:hAnsi="Tahoma" w:cs="Tahoma"/>
      <w:sz w:val="16"/>
      <w:szCs w:val="16"/>
    </w:rPr>
  </w:style>
  <w:style w:type="character" w:customStyle="1" w:styleId="Heading1Char">
    <w:name w:val="Heading 1 Char"/>
    <w:basedOn w:val="DefaultParagraphFont"/>
    <w:link w:val="Heading1"/>
    <w:uiPriority w:val="9"/>
    <w:rsid w:val="00426361"/>
    <w:rPr>
      <w:rFonts w:ascii="Arial" w:eastAsiaTheme="majorEastAsia" w:hAnsi="Arial" w:cstheme="majorBidi"/>
      <w:b/>
      <w:bCs/>
      <w:color w:val="2E1251"/>
      <w:sz w:val="36"/>
      <w:szCs w:val="28"/>
    </w:rPr>
  </w:style>
  <w:style w:type="paragraph" w:styleId="NormalWeb">
    <w:name w:val="Normal (Web)"/>
    <w:basedOn w:val="Normal"/>
    <w:uiPriority w:val="99"/>
    <w:unhideWhenUsed/>
    <w:rsid w:val="006E02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6E027E"/>
    <w:pPr>
      <w:spacing w:after="300" w:line="240" w:lineRule="auto"/>
      <w:contextualSpacing/>
    </w:pPr>
    <w:rPr>
      <w:rFonts w:eastAsiaTheme="majorEastAsia" w:cstheme="majorBidi"/>
      <w:color w:val="2E1251"/>
      <w:spacing w:val="5"/>
      <w:kern w:val="28"/>
      <w:sz w:val="52"/>
      <w:szCs w:val="52"/>
    </w:rPr>
  </w:style>
  <w:style w:type="character" w:customStyle="1" w:styleId="TitleChar">
    <w:name w:val="Title Char"/>
    <w:basedOn w:val="DefaultParagraphFont"/>
    <w:link w:val="Title"/>
    <w:uiPriority w:val="10"/>
    <w:rsid w:val="006E027E"/>
    <w:rPr>
      <w:rFonts w:ascii="Arial" w:eastAsiaTheme="majorEastAsia" w:hAnsi="Arial" w:cstheme="majorBidi"/>
      <w:color w:val="2E1251"/>
      <w:spacing w:val="5"/>
      <w:kern w:val="28"/>
      <w:sz w:val="52"/>
      <w:szCs w:val="52"/>
    </w:rPr>
  </w:style>
  <w:style w:type="character" w:customStyle="1" w:styleId="Heading2Char">
    <w:name w:val="Heading 2 Char"/>
    <w:basedOn w:val="DefaultParagraphFont"/>
    <w:link w:val="Heading2"/>
    <w:uiPriority w:val="9"/>
    <w:rsid w:val="00426361"/>
    <w:rPr>
      <w:rFonts w:ascii="Arial" w:eastAsiaTheme="majorEastAsia" w:hAnsi="Arial" w:cstheme="majorBidi"/>
      <w:b/>
      <w:bCs/>
      <w:color w:val="2E1251"/>
      <w:sz w:val="26"/>
      <w:szCs w:val="26"/>
    </w:rPr>
  </w:style>
  <w:style w:type="paragraph" w:styleId="TOCHeading">
    <w:name w:val="TOC Heading"/>
    <w:basedOn w:val="Heading1"/>
    <w:next w:val="Normal"/>
    <w:uiPriority w:val="39"/>
    <w:semiHidden/>
    <w:unhideWhenUsed/>
    <w:qFormat/>
    <w:rsid w:val="00426361"/>
    <w:pPr>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426361"/>
    <w:pPr>
      <w:spacing w:after="100"/>
    </w:pPr>
  </w:style>
  <w:style w:type="paragraph" w:styleId="TOC2">
    <w:name w:val="toc 2"/>
    <w:basedOn w:val="Normal"/>
    <w:next w:val="Normal"/>
    <w:autoRedefine/>
    <w:uiPriority w:val="39"/>
    <w:unhideWhenUsed/>
    <w:rsid w:val="00426361"/>
    <w:pPr>
      <w:spacing w:after="100"/>
      <w:ind w:left="220"/>
    </w:pPr>
  </w:style>
  <w:style w:type="character" w:styleId="Hyperlink">
    <w:name w:val="Hyperlink"/>
    <w:basedOn w:val="DefaultParagraphFont"/>
    <w:uiPriority w:val="99"/>
    <w:unhideWhenUsed/>
    <w:rsid w:val="00426361"/>
    <w:rPr>
      <w:color w:val="0000FF" w:themeColor="hyperlink"/>
      <w:u w:val="single"/>
    </w:rPr>
  </w:style>
  <w:style w:type="character" w:customStyle="1" w:styleId="Heading3Char">
    <w:name w:val="Heading 3 Char"/>
    <w:basedOn w:val="DefaultParagraphFont"/>
    <w:link w:val="Heading3"/>
    <w:uiPriority w:val="9"/>
    <w:semiHidden/>
    <w:rsid w:val="00426361"/>
    <w:rPr>
      <w:rFonts w:asciiTheme="majorHAnsi" w:eastAsiaTheme="majorEastAsia" w:hAnsiTheme="majorHAnsi" w:cstheme="majorBidi"/>
      <w:b/>
      <w:bCs/>
      <w:color w:val="2E1251"/>
    </w:rPr>
  </w:style>
  <w:style w:type="paragraph" w:styleId="Quote">
    <w:name w:val="Quote"/>
    <w:basedOn w:val="Normal"/>
    <w:next w:val="Normal"/>
    <w:link w:val="QuoteChar"/>
    <w:uiPriority w:val="29"/>
    <w:qFormat/>
    <w:rsid w:val="00CB3422"/>
    <w:rPr>
      <w:i/>
      <w:iCs/>
      <w:color w:val="000000" w:themeColor="text1"/>
    </w:rPr>
  </w:style>
  <w:style w:type="character" w:customStyle="1" w:styleId="QuoteChar">
    <w:name w:val="Quote Char"/>
    <w:basedOn w:val="DefaultParagraphFont"/>
    <w:link w:val="Quote"/>
    <w:uiPriority w:val="29"/>
    <w:rsid w:val="00CB3422"/>
    <w:rPr>
      <w:rFonts w:ascii="Arial" w:hAnsi="Arial"/>
      <w:i/>
      <w:iCs/>
      <w:color w:val="000000" w:themeColor="text1"/>
    </w:rPr>
  </w:style>
  <w:style w:type="character" w:styleId="IntenseEmphasis">
    <w:name w:val="Intense Emphasis"/>
    <w:basedOn w:val="DefaultParagraphFont"/>
    <w:uiPriority w:val="21"/>
    <w:qFormat/>
    <w:rsid w:val="00D3060F"/>
    <w:rPr>
      <w:b/>
      <w:bCs/>
      <w:i/>
      <w:iCs/>
      <w:color w:val="291357"/>
    </w:rPr>
  </w:style>
  <w:style w:type="character" w:styleId="Strong">
    <w:name w:val="Strong"/>
    <w:basedOn w:val="DefaultParagraphFont"/>
    <w:uiPriority w:val="22"/>
    <w:qFormat/>
    <w:rsid w:val="00B54EB2"/>
    <w:rPr>
      <w:b/>
      <w:bCs/>
    </w:rPr>
  </w:style>
  <w:style w:type="paragraph" w:styleId="ListParagraph">
    <w:name w:val="List Paragraph"/>
    <w:basedOn w:val="Normal"/>
    <w:uiPriority w:val="34"/>
    <w:qFormat/>
    <w:rsid w:val="00F6592F"/>
    <w:pPr>
      <w:ind w:left="720"/>
      <w:contextualSpacing/>
    </w:pPr>
  </w:style>
  <w:style w:type="paragraph" w:styleId="NoSpacing">
    <w:name w:val="No Spacing"/>
    <w:uiPriority w:val="1"/>
    <w:qFormat/>
    <w:rsid w:val="001D2855"/>
    <w:pPr>
      <w:spacing w:after="0" w:line="240" w:lineRule="auto"/>
    </w:pPr>
    <w:rPr>
      <w:rFonts w:ascii="Arial" w:hAnsi="Arial"/>
      <w:color w:val="191919"/>
    </w:rPr>
  </w:style>
  <w:style w:type="table" w:styleId="TableGrid">
    <w:name w:val="Table Grid"/>
    <w:basedOn w:val="TableNormal"/>
    <w:uiPriority w:val="59"/>
    <w:rsid w:val="007A3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89A"/>
    <w:pPr>
      <w:spacing w:after="0" w:line="240" w:lineRule="auto"/>
    </w:pPr>
    <w:rPr>
      <w:rFonts w:ascii="Arial" w:hAnsi="Arial"/>
      <w:color w:val="1919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415">
      <w:bodyDiv w:val="1"/>
      <w:marLeft w:val="0"/>
      <w:marRight w:val="0"/>
      <w:marTop w:val="0"/>
      <w:marBottom w:val="0"/>
      <w:divBdr>
        <w:top w:val="none" w:sz="0" w:space="0" w:color="auto"/>
        <w:left w:val="none" w:sz="0" w:space="0" w:color="auto"/>
        <w:bottom w:val="none" w:sz="0" w:space="0" w:color="auto"/>
        <w:right w:val="none" w:sz="0" w:space="0" w:color="auto"/>
      </w:divBdr>
    </w:div>
    <w:div w:id="1080516447">
      <w:bodyDiv w:val="1"/>
      <w:marLeft w:val="0"/>
      <w:marRight w:val="0"/>
      <w:marTop w:val="0"/>
      <w:marBottom w:val="0"/>
      <w:divBdr>
        <w:top w:val="none" w:sz="0" w:space="0" w:color="auto"/>
        <w:left w:val="none" w:sz="0" w:space="0" w:color="auto"/>
        <w:bottom w:val="none" w:sz="0" w:space="0" w:color="auto"/>
        <w:right w:val="none" w:sz="0" w:space="0" w:color="auto"/>
      </w:divBdr>
    </w:div>
    <w:div w:id="1566405304">
      <w:bodyDiv w:val="1"/>
      <w:marLeft w:val="0"/>
      <w:marRight w:val="0"/>
      <w:marTop w:val="0"/>
      <w:marBottom w:val="0"/>
      <w:divBdr>
        <w:top w:val="none" w:sz="0" w:space="0" w:color="auto"/>
        <w:left w:val="none" w:sz="0" w:space="0" w:color="auto"/>
        <w:bottom w:val="none" w:sz="0" w:space="0" w:color="auto"/>
        <w:right w:val="none" w:sz="0" w:space="0" w:color="auto"/>
      </w:divBdr>
      <w:divsChild>
        <w:div w:id="1412242339">
          <w:marLeft w:val="0"/>
          <w:marRight w:val="0"/>
          <w:marTop w:val="0"/>
          <w:marBottom w:val="0"/>
          <w:divBdr>
            <w:top w:val="none" w:sz="0" w:space="0" w:color="auto"/>
            <w:left w:val="none" w:sz="0" w:space="0" w:color="auto"/>
            <w:bottom w:val="none" w:sz="0" w:space="0" w:color="auto"/>
            <w:right w:val="none" w:sz="0" w:space="0" w:color="auto"/>
          </w:divBdr>
          <w:divsChild>
            <w:div w:id="174810692">
              <w:marLeft w:val="0"/>
              <w:marRight w:val="0"/>
              <w:marTop w:val="0"/>
              <w:marBottom w:val="0"/>
              <w:divBdr>
                <w:top w:val="none" w:sz="0" w:space="0" w:color="auto"/>
                <w:left w:val="none" w:sz="0" w:space="0" w:color="auto"/>
                <w:bottom w:val="none" w:sz="0" w:space="0" w:color="auto"/>
                <w:right w:val="none" w:sz="0" w:space="0" w:color="auto"/>
              </w:divBdr>
              <w:divsChild>
                <w:div w:id="469597223">
                  <w:marLeft w:val="0"/>
                  <w:marRight w:val="0"/>
                  <w:marTop w:val="0"/>
                  <w:marBottom w:val="0"/>
                  <w:divBdr>
                    <w:top w:val="none" w:sz="0" w:space="0" w:color="auto"/>
                    <w:left w:val="none" w:sz="0" w:space="0" w:color="auto"/>
                    <w:bottom w:val="none" w:sz="0" w:space="0" w:color="auto"/>
                    <w:right w:val="none" w:sz="0" w:space="0" w:color="auto"/>
                  </w:divBdr>
                  <w:divsChild>
                    <w:div w:id="1497068146">
                      <w:marLeft w:val="0"/>
                      <w:marRight w:val="0"/>
                      <w:marTop w:val="0"/>
                      <w:marBottom w:val="0"/>
                      <w:divBdr>
                        <w:top w:val="none" w:sz="0" w:space="0" w:color="auto"/>
                        <w:left w:val="none" w:sz="0" w:space="0" w:color="auto"/>
                        <w:bottom w:val="none" w:sz="0" w:space="0" w:color="auto"/>
                        <w:right w:val="none" w:sz="0" w:space="0" w:color="auto"/>
                      </w:divBdr>
                      <w:divsChild>
                        <w:div w:id="13654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beckett.ac.uk/-/media/files/public-information/a-to-z-guides-and-support/nn_equality__diversity_policy.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gender-pay-gap-reporting-overview" TargetMode="External"/><Relationship Id="rId4" Type="http://schemas.openxmlformats.org/officeDocument/2006/relationships/settings" Target="settings.xml"/><Relationship Id="rId9" Type="http://schemas.openxmlformats.org/officeDocument/2006/relationships/hyperlink" Target="https://www.leedsbeckett.ac.uk/-/media/files/public-information/a-to-z-guides-and-support/nn_pay_policy.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MSO\Marketing%20Service%20Online\Designed%20word%20templates\Generic_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CBA14-94FE-4561-8BEE-DC4F7D0C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Generic_Purple.dotx</Template>
  <TotalTime>2</TotalTime>
  <Pages>1</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parker09</dc:creator>
  <cp:lastModifiedBy>Donald, Robin</cp:lastModifiedBy>
  <cp:revision>2</cp:revision>
  <cp:lastPrinted>2015-06-02T15:03:00Z</cp:lastPrinted>
  <dcterms:created xsi:type="dcterms:W3CDTF">2018-04-09T10:22:00Z</dcterms:created>
  <dcterms:modified xsi:type="dcterms:W3CDTF">2018-04-09T10:22:00Z</dcterms:modified>
</cp:coreProperties>
</file>