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6CAEE" w14:textId="43120385" w:rsidR="00CA6866" w:rsidRPr="00323916" w:rsidRDefault="00A91F7C" w:rsidP="3C548027">
      <w:pPr>
        <w:spacing w:after="59" w:line="259" w:lineRule="auto"/>
        <w:ind w:left="0" w:right="0" w:firstLine="0"/>
        <w:jc w:val="left"/>
        <w:rPr>
          <w:rFonts w:asciiTheme="minorHAnsi" w:hAnsiTheme="minorHAnsi" w:cstheme="minorBidi"/>
          <w:b/>
          <w:color w:val="auto"/>
          <w:sz w:val="28"/>
          <w:szCs w:val="28"/>
        </w:rPr>
      </w:pPr>
      <w:r w:rsidRPr="00323916">
        <w:rPr>
          <w:rFonts w:asciiTheme="minorHAnsi" w:hAnsiTheme="minorHAnsi" w:cstheme="minorBidi"/>
          <w:b/>
          <w:color w:val="auto"/>
          <w:sz w:val="28"/>
          <w:szCs w:val="28"/>
        </w:rPr>
        <w:t xml:space="preserve">Leeds Beckett University </w:t>
      </w:r>
    </w:p>
    <w:p w14:paraId="4B763CE2" w14:textId="2264A891" w:rsidR="00657ED3" w:rsidRPr="00323916" w:rsidRDefault="00657ED3">
      <w:pPr>
        <w:spacing w:after="7" w:line="251" w:lineRule="auto"/>
        <w:ind w:left="9" w:right="0"/>
        <w:jc w:val="left"/>
        <w:rPr>
          <w:rFonts w:asciiTheme="minorHAnsi" w:hAnsiTheme="minorHAnsi" w:cstheme="minorHAnsi"/>
          <w:b/>
          <w:color w:val="auto"/>
          <w:sz w:val="28"/>
          <w:szCs w:val="28"/>
        </w:rPr>
      </w:pPr>
      <w:r w:rsidRPr="00323916">
        <w:rPr>
          <w:rFonts w:asciiTheme="minorHAnsi" w:hAnsiTheme="minorHAnsi" w:cstheme="minorHAnsi"/>
          <w:b/>
          <w:color w:val="auto"/>
          <w:sz w:val="28"/>
          <w:szCs w:val="28"/>
        </w:rPr>
        <w:t>General Data Protection Regulation 2016 and Data Protection Act 201</w:t>
      </w:r>
      <w:r w:rsidR="00392481" w:rsidRPr="00323916">
        <w:rPr>
          <w:rFonts w:asciiTheme="minorHAnsi" w:hAnsiTheme="minorHAnsi" w:cstheme="minorHAnsi"/>
          <w:b/>
          <w:color w:val="auto"/>
          <w:sz w:val="28"/>
          <w:szCs w:val="28"/>
        </w:rPr>
        <w:t>8</w:t>
      </w:r>
    </w:p>
    <w:p w14:paraId="42368E18" w14:textId="28884248" w:rsidR="00197F68" w:rsidRPr="00323916" w:rsidRDefault="00B07E67">
      <w:pPr>
        <w:spacing w:after="7" w:line="251" w:lineRule="auto"/>
        <w:ind w:left="9" w:right="0"/>
        <w:jc w:val="left"/>
        <w:rPr>
          <w:rFonts w:asciiTheme="minorHAnsi" w:hAnsiTheme="minorHAnsi" w:cstheme="minorBidi"/>
          <w:color w:val="auto"/>
          <w:sz w:val="28"/>
          <w:szCs w:val="28"/>
        </w:rPr>
      </w:pPr>
      <w:r w:rsidRPr="00323916">
        <w:rPr>
          <w:rFonts w:asciiTheme="minorHAnsi" w:hAnsiTheme="minorHAnsi" w:cstheme="minorBidi"/>
          <w:b/>
          <w:color w:val="auto"/>
          <w:sz w:val="28"/>
          <w:szCs w:val="28"/>
        </w:rPr>
        <w:t xml:space="preserve">Research </w:t>
      </w:r>
      <w:r w:rsidR="00B264C9" w:rsidRPr="00323916">
        <w:rPr>
          <w:rFonts w:asciiTheme="minorHAnsi" w:hAnsiTheme="minorHAnsi" w:cstheme="minorBidi"/>
          <w:b/>
          <w:color w:val="auto"/>
          <w:sz w:val="28"/>
          <w:szCs w:val="28"/>
        </w:rPr>
        <w:t>Guidance</w:t>
      </w:r>
      <w:r w:rsidR="00F14318" w:rsidRPr="00323916">
        <w:rPr>
          <w:rFonts w:asciiTheme="minorHAnsi" w:hAnsiTheme="minorHAnsi" w:cstheme="minorBidi"/>
          <w:b/>
          <w:color w:val="auto"/>
          <w:sz w:val="28"/>
          <w:szCs w:val="28"/>
        </w:rPr>
        <w:t xml:space="preserve"> and Checklist</w:t>
      </w:r>
    </w:p>
    <w:p w14:paraId="41F5FB98" w14:textId="27666B11" w:rsidR="00197F68" w:rsidRPr="00755359" w:rsidRDefault="00B07E67">
      <w:pPr>
        <w:spacing w:after="0" w:line="259" w:lineRule="auto"/>
        <w:ind w:left="14" w:right="0" w:firstLine="0"/>
        <w:jc w:val="left"/>
        <w:rPr>
          <w:rFonts w:asciiTheme="minorHAnsi" w:hAnsiTheme="minorHAnsi" w:cstheme="minorBidi"/>
        </w:rPr>
      </w:pPr>
      <w:r w:rsidRPr="7E054CC7">
        <w:rPr>
          <w:rFonts w:asciiTheme="minorHAnsi" w:hAnsiTheme="minorHAnsi" w:cstheme="minorBidi"/>
          <w:color w:val="003366"/>
        </w:rPr>
        <w:t>_____________________</w:t>
      </w:r>
      <w:r w:rsidR="6D3C92D5" w:rsidRPr="7E054CC7">
        <w:rPr>
          <w:rFonts w:asciiTheme="minorHAnsi" w:hAnsiTheme="minorHAnsi" w:cstheme="minorBidi"/>
          <w:color w:val="003366"/>
        </w:rPr>
        <w:t>______</w:t>
      </w:r>
      <w:r w:rsidRPr="7E054CC7">
        <w:rPr>
          <w:rFonts w:asciiTheme="minorHAnsi" w:hAnsiTheme="minorHAnsi" w:cstheme="minorBidi"/>
          <w:color w:val="003366"/>
        </w:rPr>
        <w:t>_______</w:t>
      </w:r>
      <w:r w:rsidR="70BE5D67" w:rsidRPr="7E054CC7">
        <w:rPr>
          <w:rFonts w:asciiTheme="minorHAnsi" w:hAnsiTheme="minorHAnsi" w:cstheme="minorBidi"/>
          <w:color w:val="003366"/>
        </w:rPr>
        <w:t>________________</w:t>
      </w:r>
      <w:r w:rsidRPr="7E054CC7">
        <w:rPr>
          <w:rFonts w:asciiTheme="minorHAnsi" w:hAnsiTheme="minorHAnsi" w:cstheme="minorBidi"/>
          <w:color w:val="003366"/>
        </w:rPr>
        <w:t xml:space="preserve">_______________________________________ </w:t>
      </w:r>
    </w:p>
    <w:p w14:paraId="7C0DD37B" w14:textId="0C6B4FF5" w:rsidR="00DB29DF" w:rsidRPr="00755359" w:rsidRDefault="00DB29DF">
      <w:pPr>
        <w:spacing w:after="0" w:line="259" w:lineRule="auto"/>
        <w:ind w:left="14" w:right="0" w:firstLine="0"/>
        <w:jc w:val="left"/>
        <w:rPr>
          <w:rFonts w:asciiTheme="minorHAnsi" w:hAnsiTheme="minorHAnsi" w:cstheme="minorHAnsi"/>
        </w:rPr>
      </w:pPr>
    </w:p>
    <w:p w14:paraId="6C6E4910" w14:textId="77777777" w:rsidR="00197F68" w:rsidRPr="00323916" w:rsidRDefault="00B07E67" w:rsidP="00323916">
      <w:pPr>
        <w:pStyle w:val="Heading1"/>
      </w:pPr>
      <w:bookmarkStart w:id="0" w:name="_Introduction_"/>
      <w:r w:rsidRPr="00323916">
        <w:t xml:space="preserve">Introduction </w:t>
      </w:r>
      <w:bookmarkEnd w:id="0"/>
    </w:p>
    <w:p w14:paraId="3E5149AF" w14:textId="3809CEE9" w:rsidR="00197F68" w:rsidRPr="00755359" w:rsidRDefault="00B07E67" w:rsidP="00AC3044">
      <w:pPr>
        <w:ind w:left="9" w:right="58"/>
        <w:rPr>
          <w:rFonts w:asciiTheme="minorHAnsi" w:hAnsiTheme="minorHAnsi" w:cstheme="minorHAnsi"/>
        </w:rPr>
      </w:pPr>
      <w:r w:rsidRPr="33AD9453">
        <w:rPr>
          <w:rFonts w:asciiTheme="minorHAnsi" w:hAnsiTheme="minorHAnsi" w:cstheme="minorBidi"/>
        </w:rPr>
        <w:t xml:space="preserve">Research projects undertaken at the </w:t>
      </w:r>
      <w:r w:rsidR="666E582E" w:rsidRPr="33AD9453">
        <w:rPr>
          <w:rFonts w:asciiTheme="minorHAnsi" w:hAnsiTheme="minorHAnsi" w:cstheme="minorBidi"/>
        </w:rPr>
        <w:t>university</w:t>
      </w:r>
      <w:r w:rsidRPr="33AD9453">
        <w:rPr>
          <w:rFonts w:asciiTheme="minorHAnsi" w:hAnsiTheme="minorHAnsi" w:cstheme="minorBidi"/>
        </w:rPr>
        <w:t xml:space="preserve"> will often involve information relating to individuals. This information must be processed in accordance with the requirements of data protection law.  </w:t>
      </w:r>
      <w:r w:rsidR="00AC3044">
        <w:rPr>
          <w:rFonts w:asciiTheme="minorHAnsi" w:hAnsiTheme="minorHAnsi" w:cstheme="minorBidi"/>
        </w:rPr>
        <w:t>The purpose of this note is</w:t>
      </w:r>
      <w:r w:rsidRPr="00755359">
        <w:rPr>
          <w:rFonts w:asciiTheme="minorHAnsi" w:hAnsiTheme="minorHAnsi" w:cstheme="minorHAnsi"/>
        </w:rPr>
        <w:t xml:space="preserve"> to introduce researchers to the provisions of the following legislation on data protection: </w:t>
      </w:r>
    </w:p>
    <w:p w14:paraId="4F848E72" w14:textId="6E23C480" w:rsidR="00197F68" w:rsidRPr="00804216" w:rsidRDefault="0018197C" w:rsidP="00323916">
      <w:pPr>
        <w:pStyle w:val="Heading1"/>
      </w:pPr>
      <w:r>
        <w:t xml:space="preserve">UK </w:t>
      </w:r>
      <w:r w:rsidR="00B07E67" w:rsidRPr="00804216">
        <w:t xml:space="preserve">General Data Protection Regulation </w:t>
      </w:r>
      <w:r w:rsidR="00282D47" w:rsidRPr="00804216">
        <w:t xml:space="preserve">2016 </w:t>
      </w:r>
      <w:r w:rsidR="00B07E67" w:rsidRPr="00804216">
        <w:t>(</w:t>
      </w:r>
      <w:r>
        <w:t xml:space="preserve">UK </w:t>
      </w:r>
      <w:r w:rsidR="00B07E67" w:rsidRPr="00804216">
        <w:t xml:space="preserve">GDPR) </w:t>
      </w:r>
    </w:p>
    <w:p w14:paraId="2B599D62" w14:textId="0E1AFA3C" w:rsidR="00197F68" w:rsidRPr="00755359" w:rsidRDefault="00B177F3" w:rsidP="0A3CC6EB">
      <w:pPr>
        <w:ind w:left="11" w:right="57" w:hanging="11"/>
        <w:rPr>
          <w:rFonts w:asciiTheme="minorHAnsi" w:hAnsiTheme="minorHAnsi" w:cstheme="minorBidi"/>
        </w:rPr>
      </w:pPr>
      <w:r w:rsidRPr="0A3CC6EB">
        <w:rPr>
          <w:rFonts w:asciiTheme="minorHAnsi" w:hAnsiTheme="minorHAnsi" w:cstheme="minorBidi"/>
        </w:rPr>
        <w:t xml:space="preserve">The provisions of the EU GDPR have been incorporated directly into UK law as the </w:t>
      </w:r>
      <w:r w:rsidR="00FD693A" w:rsidRPr="0A3CC6EB">
        <w:rPr>
          <w:rFonts w:asciiTheme="minorHAnsi" w:hAnsiTheme="minorHAnsi" w:cstheme="minorBidi"/>
        </w:rPr>
        <w:t>‘</w:t>
      </w:r>
      <w:r w:rsidRPr="0A3CC6EB">
        <w:rPr>
          <w:rFonts w:asciiTheme="minorHAnsi" w:hAnsiTheme="minorHAnsi" w:cstheme="minorBidi"/>
        </w:rPr>
        <w:t xml:space="preserve">UK </w:t>
      </w:r>
      <w:r w:rsidR="00FD693A" w:rsidRPr="0A3CC6EB">
        <w:rPr>
          <w:rFonts w:asciiTheme="minorHAnsi" w:hAnsiTheme="minorHAnsi" w:cstheme="minorBidi"/>
        </w:rPr>
        <w:t xml:space="preserve">GDPR’. </w:t>
      </w:r>
      <w:r w:rsidR="0018197C" w:rsidRPr="0A3CC6EB">
        <w:rPr>
          <w:rFonts w:asciiTheme="minorHAnsi" w:hAnsiTheme="minorHAnsi" w:cstheme="minorBidi"/>
        </w:rPr>
        <w:t xml:space="preserve">The EU GDPR is an EU Regulation and it no longer applies to the UK. </w:t>
      </w:r>
      <w:r w:rsidR="00FD693A" w:rsidRPr="0A3CC6EB">
        <w:rPr>
          <w:rFonts w:asciiTheme="minorHAnsi" w:hAnsiTheme="minorHAnsi" w:cstheme="minorBidi"/>
        </w:rPr>
        <w:t>The</w:t>
      </w:r>
      <w:r w:rsidR="00385358" w:rsidRPr="0A3CC6EB">
        <w:rPr>
          <w:rFonts w:asciiTheme="minorHAnsi" w:hAnsiTheme="minorHAnsi" w:cstheme="minorBidi"/>
        </w:rPr>
        <w:t xml:space="preserve"> UK has the independence to keep the framework under review. The ‘UK GDPR’ sits alongside an amended version of the DPA 2018.</w:t>
      </w:r>
      <w:r>
        <w:t xml:space="preserve">  </w:t>
      </w:r>
    </w:p>
    <w:p w14:paraId="27F776A5" w14:textId="0E0BDE15" w:rsidR="00197F68" w:rsidRPr="00804216" w:rsidRDefault="00B07E67" w:rsidP="00323916">
      <w:pPr>
        <w:pStyle w:val="Heading1"/>
      </w:pPr>
      <w:r w:rsidRPr="00804216">
        <w:t xml:space="preserve">Data Protection Act 2018 </w:t>
      </w:r>
      <w:r w:rsidR="0023087E" w:rsidRPr="00804216">
        <w:t>(DPA18)</w:t>
      </w:r>
    </w:p>
    <w:p w14:paraId="25977F2A" w14:textId="4B9472C4" w:rsidR="00197F68" w:rsidRPr="00755359" w:rsidRDefault="00755359" w:rsidP="00A01A31">
      <w:pPr>
        <w:ind w:left="9" w:right="58"/>
        <w:rPr>
          <w:rFonts w:asciiTheme="minorHAnsi" w:hAnsiTheme="minorHAnsi" w:cstheme="minorHAnsi"/>
        </w:rPr>
      </w:pPr>
      <w:r w:rsidRPr="00755359">
        <w:rPr>
          <w:rFonts w:asciiTheme="minorHAnsi" w:hAnsiTheme="minorHAnsi" w:cstheme="minorHAnsi"/>
        </w:rPr>
        <w:t>Several</w:t>
      </w:r>
      <w:r w:rsidR="00B07E67" w:rsidRPr="00755359">
        <w:rPr>
          <w:rFonts w:asciiTheme="minorHAnsi" w:hAnsiTheme="minorHAnsi" w:cstheme="minorHAnsi"/>
        </w:rPr>
        <w:t xml:space="preserve"> </w:t>
      </w:r>
      <w:r w:rsidR="00394295" w:rsidRPr="00755359">
        <w:rPr>
          <w:rFonts w:asciiTheme="minorHAnsi" w:hAnsiTheme="minorHAnsi" w:cstheme="minorHAnsi"/>
        </w:rPr>
        <w:t xml:space="preserve">GDPR and Data Protection Act </w:t>
      </w:r>
      <w:r w:rsidR="00A01A31" w:rsidRPr="00755359">
        <w:rPr>
          <w:rFonts w:asciiTheme="minorHAnsi" w:hAnsiTheme="minorHAnsi" w:cstheme="minorHAnsi"/>
        </w:rPr>
        <w:t>201</w:t>
      </w:r>
      <w:r w:rsidR="0023087E" w:rsidRPr="00755359">
        <w:rPr>
          <w:rFonts w:asciiTheme="minorHAnsi" w:hAnsiTheme="minorHAnsi" w:cstheme="minorHAnsi"/>
        </w:rPr>
        <w:t>8</w:t>
      </w:r>
      <w:r w:rsidR="00B07E67" w:rsidRPr="00755359">
        <w:rPr>
          <w:rFonts w:asciiTheme="minorHAnsi" w:hAnsiTheme="minorHAnsi" w:cstheme="minorHAnsi"/>
        </w:rPr>
        <w:t xml:space="preserve"> clauses relate specifically to research. This note focuses mainly on the GDPR, as it is the more significant piece of legislation. </w:t>
      </w:r>
    </w:p>
    <w:p w14:paraId="544DEED7" w14:textId="56AEA093" w:rsidR="288D0882" w:rsidRPr="00AC3044" w:rsidRDefault="00B07E67" w:rsidP="00AC3044">
      <w:pPr>
        <w:spacing w:after="234"/>
        <w:ind w:left="9" w:right="58"/>
        <w:rPr>
          <w:rFonts w:asciiTheme="minorHAnsi" w:hAnsiTheme="minorHAnsi" w:cstheme="minorHAnsi"/>
        </w:rPr>
      </w:pPr>
      <w:r w:rsidRPr="00755359">
        <w:rPr>
          <w:rFonts w:asciiTheme="minorHAnsi" w:hAnsiTheme="minorHAnsi" w:cstheme="minorHAnsi"/>
        </w:rPr>
        <w:t xml:space="preserve">References to the GDPR should be taken to mean the GDPR, as supplemented by the Data Protection </w:t>
      </w:r>
      <w:r w:rsidR="00394295" w:rsidRPr="00755359">
        <w:rPr>
          <w:rFonts w:asciiTheme="minorHAnsi" w:hAnsiTheme="minorHAnsi" w:cstheme="minorHAnsi"/>
        </w:rPr>
        <w:t>Act 2018</w:t>
      </w:r>
      <w:r w:rsidRPr="00755359">
        <w:rPr>
          <w:rFonts w:asciiTheme="minorHAnsi" w:hAnsiTheme="minorHAnsi" w:cstheme="minorHAnsi"/>
        </w:rPr>
        <w:t xml:space="preserve">. </w:t>
      </w:r>
      <w:r w:rsidRPr="06E08850">
        <w:rPr>
          <w:rFonts w:asciiTheme="minorHAnsi" w:hAnsiTheme="minorHAnsi" w:cstheme="minorBidi"/>
        </w:rPr>
        <w:t xml:space="preserve">The implications of the GDPR for research will be explained with </w:t>
      </w:r>
      <w:r w:rsidR="006676EB" w:rsidRPr="06E08850">
        <w:rPr>
          <w:rFonts w:asciiTheme="minorHAnsi" w:hAnsiTheme="minorHAnsi" w:cstheme="minorBidi"/>
        </w:rPr>
        <w:t>reference</w:t>
      </w:r>
      <w:r w:rsidRPr="06E08850">
        <w:rPr>
          <w:rFonts w:asciiTheme="minorHAnsi" w:hAnsiTheme="minorHAnsi" w:cstheme="minorBidi"/>
        </w:rPr>
        <w:t xml:space="preserve"> to the following questions and issues: </w:t>
      </w:r>
    </w:p>
    <w:tbl>
      <w:tblPr>
        <w:tblStyle w:val="TableGrid1"/>
        <w:tblW w:w="8917" w:type="dxa"/>
        <w:tblInd w:w="14" w:type="dxa"/>
        <w:tblCellMar>
          <w:bottom w:w="64" w:type="dxa"/>
          <w:right w:w="46" w:type="dxa"/>
        </w:tblCellMar>
        <w:tblLook w:val="04A0" w:firstRow="1" w:lastRow="0" w:firstColumn="1" w:lastColumn="0" w:noHBand="0" w:noVBand="1"/>
      </w:tblPr>
      <w:tblGrid>
        <w:gridCol w:w="7975"/>
        <w:gridCol w:w="942"/>
      </w:tblGrid>
      <w:tr w:rsidR="00197F68" w:rsidRPr="00755359" w14:paraId="1138755B" w14:textId="77777777" w:rsidTr="00121F69">
        <w:trPr>
          <w:trHeight w:val="260"/>
        </w:trPr>
        <w:tc>
          <w:tcPr>
            <w:tcW w:w="7975" w:type="dxa"/>
            <w:tcBorders>
              <w:top w:val="nil"/>
              <w:left w:val="nil"/>
              <w:bottom w:val="single" w:sz="4" w:space="0" w:color="003366"/>
              <w:right w:val="nil"/>
            </w:tcBorders>
          </w:tcPr>
          <w:p w14:paraId="7AB48D53" w14:textId="4B3B0BAD" w:rsidR="00197F68" w:rsidRPr="00755359" w:rsidRDefault="00AC3044">
            <w:pPr>
              <w:tabs>
                <w:tab w:val="center" w:pos="1905"/>
              </w:tabs>
              <w:spacing w:after="0" w:line="259" w:lineRule="auto"/>
              <w:ind w:left="0" w:right="0" w:firstLine="0"/>
              <w:jc w:val="left"/>
              <w:rPr>
                <w:rFonts w:asciiTheme="minorHAnsi" w:hAnsiTheme="minorHAnsi" w:cstheme="minorBidi"/>
                <w:szCs w:val="20"/>
              </w:rPr>
            </w:pPr>
            <w:hyperlink w:anchor="Bookmark2">
              <w:r w:rsidR="00B07E67" w:rsidRPr="3C548027">
                <w:rPr>
                  <w:rStyle w:val="Hyperlink"/>
                  <w:rFonts w:asciiTheme="minorHAnsi" w:hAnsiTheme="minorHAnsi" w:cstheme="minorBidi"/>
                  <w:szCs w:val="20"/>
                </w:rPr>
                <w:t>A. Wha</w:t>
              </w:r>
              <w:r w:rsidR="00B07E67" w:rsidRPr="3C548027">
                <w:rPr>
                  <w:rStyle w:val="Hyperlink"/>
                  <w:rFonts w:asciiTheme="minorHAnsi" w:hAnsiTheme="minorHAnsi" w:cstheme="minorBidi"/>
                  <w:szCs w:val="20"/>
                </w:rPr>
                <w:t>t</w:t>
              </w:r>
              <w:r w:rsidR="00B07E67" w:rsidRPr="3C548027">
                <w:rPr>
                  <w:rStyle w:val="Hyperlink"/>
                  <w:rFonts w:asciiTheme="minorHAnsi" w:hAnsiTheme="minorHAnsi" w:cstheme="minorBidi"/>
                  <w:szCs w:val="20"/>
                </w:rPr>
                <w:t xml:space="preserve"> is data protection?</w:t>
              </w:r>
            </w:hyperlink>
            <w:r w:rsidR="00B07E67" w:rsidRPr="3C548027">
              <w:rPr>
                <w:rFonts w:asciiTheme="minorHAnsi" w:hAnsiTheme="minorHAnsi" w:cstheme="minorBidi"/>
                <w:szCs w:val="20"/>
              </w:rPr>
              <w:t xml:space="preserve"> </w:t>
            </w:r>
          </w:p>
        </w:tc>
        <w:tc>
          <w:tcPr>
            <w:tcW w:w="942" w:type="dxa"/>
            <w:tcBorders>
              <w:top w:val="nil"/>
              <w:left w:val="nil"/>
              <w:bottom w:val="single" w:sz="4" w:space="0" w:color="003366"/>
              <w:right w:val="nil"/>
            </w:tcBorders>
            <w:vAlign w:val="center"/>
          </w:tcPr>
          <w:p w14:paraId="7B9EABF9" w14:textId="6E0B4D94" w:rsidR="00197F68" w:rsidRPr="00755359" w:rsidRDefault="00B07E67" w:rsidP="0007307D">
            <w:pPr>
              <w:spacing w:after="0" w:line="259" w:lineRule="auto"/>
              <w:ind w:left="110" w:right="0" w:firstLine="0"/>
              <w:jc w:val="center"/>
              <w:rPr>
                <w:rFonts w:asciiTheme="minorHAnsi" w:hAnsiTheme="minorHAnsi" w:cstheme="minorBidi"/>
                <w:szCs w:val="20"/>
              </w:rPr>
            </w:pPr>
            <w:r w:rsidRPr="3C548027">
              <w:rPr>
                <w:rFonts w:asciiTheme="minorHAnsi" w:hAnsiTheme="minorHAnsi" w:cstheme="minorBidi"/>
                <w:szCs w:val="20"/>
              </w:rPr>
              <w:t>2</w:t>
            </w:r>
          </w:p>
        </w:tc>
      </w:tr>
      <w:tr w:rsidR="00197F68" w:rsidRPr="00755359" w14:paraId="20BCAB34" w14:textId="77777777" w:rsidTr="00121F69">
        <w:trPr>
          <w:trHeight w:val="432"/>
        </w:trPr>
        <w:tc>
          <w:tcPr>
            <w:tcW w:w="7975" w:type="dxa"/>
            <w:tcBorders>
              <w:top w:val="single" w:sz="4" w:space="0" w:color="003366"/>
              <w:left w:val="nil"/>
              <w:bottom w:val="single" w:sz="4" w:space="0" w:color="003366"/>
              <w:right w:val="nil"/>
            </w:tcBorders>
            <w:vAlign w:val="bottom"/>
          </w:tcPr>
          <w:p w14:paraId="3DFAEE50" w14:textId="27CE536C" w:rsidR="00197F68" w:rsidRPr="00755359" w:rsidRDefault="00AC3044">
            <w:pPr>
              <w:tabs>
                <w:tab w:val="center" w:pos="2327"/>
              </w:tabs>
              <w:spacing w:after="0" w:line="259" w:lineRule="auto"/>
              <w:ind w:left="0" w:right="0" w:firstLine="0"/>
              <w:jc w:val="left"/>
              <w:rPr>
                <w:rFonts w:asciiTheme="minorHAnsi" w:hAnsiTheme="minorHAnsi" w:cstheme="minorBidi"/>
                <w:szCs w:val="20"/>
              </w:rPr>
            </w:pPr>
            <w:hyperlink w:anchor="Bookmark3">
              <w:r w:rsidR="00B07E67" w:rsidRPr="3C548027">
                <w:rPr>
                  <w:rStyle w:val="Hyperlink"/>
                  <w:rFonts w:asciiTheme="minorHAnsi" w:hAnsiTheme="minorHAnsi" w:cstheme="minorBidi"/>
                  <w:szCs w:val="20"/>
                </w:rPr>
                <w:t>B. Why is data protection important?</w:t>
              </w:r>
            </w:hyperlink>
            <w:r w:rsidR="00B07E67" w:rsidRPr="3C548027">
              <w:rPr>
                <w:rFonts w:asciiTheme="minorHAnsi" w:hAnsiTheme="minorHAnsi" w:cstheme="minorBidi"/>
                <w:szCs w:val="20"/>
              </w:rPr>
              <w:t xml:space="preserve"> </w:t>
            </w:r>
          </w:p>
        </w:tc>
        <w:tc>
          <w:tcPr>
            <w:tcW w:w="942" w:type="dxa"/>
            <w:tcBorders>
              <w:top w:val="single" w:sz="4" w:space="0" w:color="003366"/>
              <w:left w:val="nil"/>
              <w:bottom w:val="single" w:sz="4" w:space="0" w:color="003366"/>
              <w:right w:val="nil"/>
            </w:tcBorders>
            <w:vAlign w:val="center"/>
          </w:tcPr>
          <w:p w14:paraId="5E954D20" w14:textId="42AC1450" w:rsidR="00197F68" w:rsidRPr="00755359" w:rsidRDefault="00B07E67" w:rsidP="0007307D">
            <w:pPr>
              <w:spacing w:after="0" w:line="259" w:lineRule="auto"/>
              <w:ind w:left="110" w:right="0" w:firstLine="0"/>
              <w:jc w:val="center"/>
              <w:rPr>
                <w:rFonts w:asciiTheme="minorHAnsi" w:hAnsiTheme="minorHAnsi" w:cstheme="minorBidi"/>
                <w:szCs w:val="20"/>
              </w:rPr>
            </w:pPr>
            <w:r w:rsidRPr="3C548027">
              <w:rPr>
                <w:rFonts w:asciiTheme="minorHAnsi" w:hAnsiTheme="minorHAnsi" w:cstheme="minorBidi"/>
                <w:szCs w:val="20"/>
              </w:rPr>
              <w:t>2</w:t>
            </w:r>
          </w:p>
        </w:tc>
      </w:tr>
      <w:tr w:rsidR="00197F68" w:rsidRPr="00755359" w14:paraId="366B8E66" w14:textId="77777777" w:rsidTr="00121F69">
        <w:trPr>
          <w:trHeight w:val="433"/>
        </w:trPr>
        <w:tc>
          <w:tcPr>
            <w:tcW w:w="7975" w:type="dxa"/>
            <w:tcBorders>
              <w:top w:val="single" w:sz="4" w:space="0" w:color="003366"/>
              <w:left w:val="nil"/>
              <w:bottom w:val="single" w:sz="4" w:space="0" w:color="003366"/>
              <w:right w:val="nil"/>
            </w:tcBorders>
            <w:vAlign w:val="bottom"/>
          </w:tcPr>
          <w:p w14:paraId="0100B6EC" w14:textId="3CEF49DF" w:rsidR="00197F68" w:rsidRPr="00755359" w:rsidRDefault="00AC3044">
            <w:pPr>
              <w:tabs>
                <w:tab w:val="center" w:pos="3733"/>
              </w:tabs>
              <w:spacing w:after="0" w:line="259" w:lineRule="auto"/>
              <w:ind w:left="0" w:right="0" w:firstLine="0"/>
              <w:jc w:val="left"/>
              <w:rPr>
                <w:rFonts w:asciiTheme="minorHAnsi" w:hAnsiTheme="minorHAnsi" w:cstheme="minorBidi"/>
                <w:szCs w:val="20"/>
              </w:rPr>
            </w:pPr>
            <w:hyperlink w:anchor="Bookmark4">
              <w:r w:rsidR="00B07E67" w:rsidRPr="3C548027">
                <w:rPr>
                  <w:rStyle w:val="Hyperlink"/>
                  <w:rFonts w:asciiTheme="minorHAnsi" w:hAnsiTheme="minorHAnsi" w:cstheme="minorBidi"/>
                  <w:szCs w:val="20"/>
                </w:rPr>
                <w:t>C. Does your project involve information to which the GDPR applies?</w:t>
              </w:r>
            </w:hyperlink>
            <w:r w:rsidR="00B07E67" w:rsidRPr="3C548027">
              <w:rPr>
                <w:rFonts w:asciiTheme="minorHAnsi" w:hAnsiTheme="minorHAnsi" w:cstheme="minorBidi"/>
                <w:szCs w:val="20"/>
              </w:rPr>
              <w:t xml:space="preserve"> </w:t>
            </w:r>
          </w:p>
        </w:tc>
        <w:tc>
          <w:tcPr>
            <w:tcW w:w="942" w:type="dxa"/>
            <w:tcBorders>
              <w:top w:val="single" w:sz="4" w:space="0" w:color="003366"/>
              <w:left w:val="nil"/>
              <w:bottom w:val="single" w:sz="4" w:space="0" w:color="003366"/>
              <w:right w:val="nil"/>
            </w:tcBorders>
            <w:vAlign w:val="center"/>
          </w:tcPr>
          <w:p w14:paraId="137624B9" w14:textId="5E940A1E" w:rsidR="00197F68" w:rsidRPr="00755359" w:rsidRDefault="00B07E67" w:rsidP="0007307D">
            <w:pPr>
              <w:spacing w:after="0" w:line="259" w:lineRule="auto"/>
              <w:ind w:left="110" w:right="0" w:firstLine="0"/>
              <w:jc w:val="center"/>
              <w:rPr>
                <w:rFonts w:asciiTheme="minorHAnsi" w:hAnsiTheme="minorHAnsi" w:cstheme="minorBidi"/>
                <w:szCs w:val="20"/>
              </w:rPr>
            </w:pPr>
            <w:r w:rsidRPr="3C548027">
              <w:rPr>
                <w:rFonts w:asciiTheme="minorHAnsi" w:hAnsiTheme="minorHAnsi" w:cstheme="minorBidi"/>
                <w:szCs w:val="20"/>
              </w:rPr>
              <w:t>2</w:t>
            </w:r>
          </w:p>
        </w:tc>
      </w:tr>
      <w:tr w:rsidR="00197F68" w:rsidRPr="00755359" w14:paraId="21D3BA47" w14:textId="77777777" w:rsidTr="00121F69">
        <w:trPr>
          <w:trHeight w:val="430"/>
        </w:trPr>
        <w:tc>
          <w:tcPr>
            <w:tcW w:w="7975" w:type="dxa"/>
            <w:tcBorders>
              <w:top w:val="single" w:sz="4" w:space="0" w:color="003366"/>
              <w:left w:val="nil"/>
              <w:bottom w:val="single" w:sz="4" w:space="0" w:color="003366"/>
              <w:right w:val="nil"/>
            </w:tcBorders>
            <w:vAlign w:val="bottom"/>
          </w:tcPr>
          <w:p w14:paraId="57429F14" w14:textId="21D50E0F" w:rsidR="00197F68" w:rsidRPr="00755359" w:rsidRDefault="00AC3044">
            <w:pPr>
              <w:tabs>
                <w:tab w:val="center" w:pos="2575"/>
              </w:tabs>
              <w:spacing w:after="0" w:line="259" w:lineRule="auto"/>
              <w:ind w:left="0" w:right="0" w:firstLine="0"/>
              <w:jc w:val="left"/>
              <w:rPr>
                <w:rFonts w:asciiTheme="minorHAnsi" w:hAnsiTheme="minorHAnsi" w:cstheme="minorBidi"/>
                <w:szCs w:val="20"/>
              </w:rPr>
            </w:pPr>
            <w:hyperlink w:anchor="Bookmark5">
              <w:r w:rsidR="00B07E67" w:rsidRPr="3C548027">
                <w:rPr>
                  <w:rStyle w:val="Hyperlink"/>
                  <w:rFonts w:asciiTheme="minorHAnsi" w:hAnsiTheme="minorHAnsi" w:cstheme="minorBidi"/>
                  <w:szCs w:val="20"/>
                </w:rPr>
                <w:t>D. What is special category personal data?</w:t>
              </w:r>
            </w:hyperlink>
            <w:r w:rsidR="00B07E67" w:rsidRPr="3C548027">
              <w:rPr>
                <w:rFonts w:asciiTheme="minorHAnsi" w:hAnsiTheme="minorHAnsi" w:cstheme="minorBidi"/>
                <w:szCs w:val="20"/>
              </w:rPr>
              <w:t xml:space="preserve"> </w:t>
            </w:r>
          </w:p>
        </w:tc>
        <w:tc>
          <w:tcPr>
            <w:tcW w:w="942" w:type="dxa"/>
            <w:tcBorders>
              <w:top w:val="single" w:sz="4" w:space="0" w:color="003366"/>
              <w:left w:val="nil"/>
              <w:bottom w:val="single" w:sz="4" w:space="0" w:color="003366"/>
              <w:right w:val="nil"/>
            </w:tcBorders>
            <w:vAlign w:val="center"/>
          </w:tcPr>
          <w:p w14:paraId="31DDB774" w14:textId="7054FE8E" w:rsidR="00197F68" w:rsidRPr="00755359" w:rsidRDefault="00B07E67" w:rsidP="0007307D">
            <w:pPr>
              <w:spacing w:after="0" w:line="259" w:lineRule="auto"/>
              <w:ind w:left="110" w:right="0" w:firstLine="0"/>
              <w:jc w:val="center"/>
              <w:rPr>
                <w:rFonts w:asciiTheme="minorHAnsi" w:hAnsiTheme="minorHAnsi" w:cstheme="minorBidi"/>
                <w:szCs w:val="20"/>
              </w:rPr>
            </w:pPr>
            <w:r w:rsidRPr="3C548027">
              <w:rPr>
                <w:rFonts w:asciiTheme="minorHAnsi" w:hAnsiTheme="minorHAnsi" w:cstheme="minorBidi"/>
                <w:szCs w:val="20"/>
              </w:rPr>
              <w:t>4</w:t>
            </w:r>
          </w:p>
        </w:tc>
      </w:tr>
      <w:tr w:rsidR="00197F68" w:rsidRPr="00755359" w14:paraId="0C42AF6D" w14:textId="77777777" w:rsidTr="00121F69">
        <w:trPr>
          <w:trHeight w:val="432"/>
        </w:trPr>
        <w:tc>
          <w:tcPr>
            <w:tcW w:w="7975" w:type="dxa"/>
            <w:tcBorders>
              <w:top w:val="single" w:sz="4" w:space="0" w:color="003366"/>
              <w:left w:val="nil"/>
              <w:bottom w:val="single" w:sz="4" w:space="0" w:color="003366"/>
              <w:right w:val="nil"/>
            </w:tcBorders>
            <w:vAlign w:val="bottom"/>
          </w:tcPr>
          <w:p w14:paraId="529E072A" w14:textId="3FFE05C7" w:rsidR="00197F68" w:rsidRPr="00755359" w:rsidRDefault="00AC3044">
            <w:pPr>
              <w:tabs>
                <w:tab w:val="center" w:pos="3007"/>
              </w:tabs>
              <w:spacing w:after="0" w:line="259" w:lineRule="auto"/>
              <w:ind w:left="0" w:right="0" w:firstLine="0"/>
              <w:jc w:val="left"/>
              <w:rPr>
                <w:rFonts w:asciiTheme="minorHAnsi" w:hAnsiTheme="minorHAnsi" w:cstheme="minorBidi"/>
                <w:szCs w:val="20"/>
              </w:rPr>
            </w:pPr>
            <w:hyperlink w:anchor="Bookmark6">
              <w:r w:rsidR="00B07E67" w:rsidRPr="3C548027">
                <w:rPr>
                  <w:rStyle w:val="Hyperlink"/>
                  <w:rFonts w:asciiTheme="minorHAnsi" w:hAnsiTheme="minorHAnsi" w:cstheme="minorBidi"/>
                  <w:szCs w:val="20"/>
                </w:rPr>
                <w:t>E. Who is responsible for complying with the GDPR?</w:t>
              </w:r>
            </w:hyperlink>
            <w:r w:rsidR="00B07E67" w:rsidRPr="3C548027">
              <w:rPr>
                <w:rFonts w:asciiTheme="minorHAnsi" w:hAnsiTheme="minorHAnsi" w:cstheme="minorBidi"/>
                <w:szCs w:val="20"/>
              </w:rPr>
              <w:t xml:space="preserve"> </w:t>
            </w:r>
          </w:p>
        </w:tc>
        <w:tc>
          <w:tcPr>
            <w:tcW w:w="942" w:type="dxa"/>
            <w:tcBorders>
              <w:top w:val="single" w:sz="4" w:space="0" w:color="003366"/>
              <w:left w:val="nil"/>
              <w:bottom w:val="single" w:sz="4" w:space="0" w:color="003366"/>
              <w:right w:val="nil"/>
            </w:tcBorders>
            <w:vAlign w:val="center"/>
          </w:tcPr>
          <w:p w14:paraId="1385BA24" w14:textId="07B68FBD" w:rsidR="00197F68" w:rsidRPr="00755359" w:rsidRDefault="00B07E67" w:rsidP="0007307D">
            <w:pPr>
              <w:spacing w:after="0" w:line="259" w:lineRule="auto"/>
              <w:ind w:left="110" w:right="0" w:firstLine="0"/>
              <w:jc w:val="center"/>
              <w:rPr>
                <w:rFonts w:asciiTheme="minorHAnsi" w:hAnsiTheme="minorHAnsi" w:cstheme="minorBidi"/>
                <w:szCs w:val="20"/>
              </w:rPr>
            </w:pPr>
            <w:r w:rsidRPr="3C548027">
              <w:rPr>
                <w:rFonts w:asciiTheme="minorHAnsi" w:hAnsiTheme="minorHAnsi" w:cstheme="minorBidi"/>
                <w:szCs w:val="20"/>
              </w:rPr>
              <w:t>4</w:t>
            </w:r>
          </w:p>
        </w:tc>
      </w:tr>
      <w:tr w:rsidR="00197F68" w:rsidRPr="00755359" w14:paraId="3A23DDB4" w14:textId="77777777" w:rsidTr="00121F69">
        <w:trPr>
          <w:trHeight w:val="432"/>
        </w:trPr>
        <w:tc>
          <w:tcPr>
            <w:tcW w:w="7975" w:type="dxa"/>
            <w:tcBorders>
              <w:top w:val="single" w:sz="4" w:space="0" w:color="003366"/>
              <w:left w:val="nil"/>
              <w:bottom w:val="single" w:sz="4" w:space="0" w:color="003366"/>
              <w:right w:val="nil"/>
            </w:tcBorders>
            <w:vAlign w:val="bottom"/>
          </w:tcPr>
          <w:p w14:paraId="7550B2D9" w14:textId="0F3076EB" w:rsidR="00197F68" w:rsidRPr="00755359" w:rsidRDefault="00AC3044">
            <w:pPr>
              <w:tabs>
                <w:tab w:val="center" w:pos="3244"/>
              </w:tabs>
              <w:spacing w:after="0" w:line="259" w:lineRule="auto"/>
              <w:ind w:left="0" w:right="0" w:firstLine="0"/>
              <w:jc w:val="left"/>
              <w:rPr>
                <w:rFonts w:asciiTheme="minorHAnsi" w:hAnsiTheme="minorHAnsi" w:cstheme="minorBidi"/>
                <w:szCs w:val="20"/>
              </w:rPr>
            </w:pPr>
            <w:hyperlink w:anchor="Bookmark7">
              <w:r w:rsidR="00B07E67" w:rsidRPr="3C548027">
                <w:rPr>
                  <w:rStyle w:val="Hyperlink"/>
                  <w:rFonts w:asciiTheme="minorHAnsi" w:hAnsiTheme="minorHAnsi" w:cstheme="minorBidi"/>
                  <w:szCs w:val="20"/>
                </w:rPr>
                <w:t>F. What are your duties and obligations under the GDPR?</w:t>
              </w:r>
            </w:hyperlink>
            <w:r w:rsidR="00B07E67" w:rsidRPr="3C548027">
              <w:rPr>
                <w:rFonts w:asciiTheme="minorHAnsi" w:hAnsiTheme="minorHAnsi" w:cstheme="minorBidi"/>
                <w:szCs w:val="20"/>
              </w:rPr>
              <w:t xml:space="preserve"> </w:t>
            </w:r>
          </w:p>
        </w:tc>
        <w:tc>
          <w:tcPr>
            <w:tcW w:w="942" w:type="dxa"/>
            <w:tcBorders>
              <w:top w:val="single" w:sz="4" w:space="0" w:color="003366"/>
              <w:left w:val="nil"/>
              <w:bottom w:val="single" w:sz="4" w:space="0" w:color="003366"/>
              <w:right w:val="nil"/>
            </w:tcBorders>
            <w:vAlign w:val="center"/>
          </w:tcPr>
          <w:p w14:paraId="33EA2F43" w14:textId="01B50CC5" w:rsidR="00197F68" w:rsidRPr="00755359" w:rsidRDefault="00B07E67" w:rsidP="0007307D">
            <w:pPr>
              <w:spacing w:after="0" w:line="259" w:lineRule="auto"/>
              <w:ind w:left="110" w:right="0" w:firstLine="0"/>
              <w:jc w:val="center"/>
              <w:rPr>
                <w:rFonts w:asciiTheme="minorHAnsi" w:hAnsiTheme="minorHAnsi" w:cstheme="minorBidi"/>
                <w:szCs w:val="20"/>
              </w:rPr>
            </w:pPr>
            <w:r w:rsidRPr="3C548027">
              <w:rPr>
                <w:rFonts w:asciiTheme="minorHAnsi" w:hAnsiTheme="minorHAnsi" w:cstheme="minorBidi"/>
                <w:szCs w:val="20"/>
              </w:rPr>
              <w:t>5</w:t>
            </w:r>
          </w:p>
        </w:tc>
      </w:tr>
      <w:tr w:rsidR="00197F68" w:rsidRPr="00755359" w14:paraId="138C7A90" w14:textId="77777777" w:rsidTr="00121F69">
        <w:trPr>
          <w:trHeight w:val="432"/>
        </w:trPr>
        <w:tc>
          <w:tcPr>
            <w:tcW w:w="7975" w:type="dxa"/>
            <w:tcBorders>
              <w:top w:val="single" w:sz="4" w:space="0" w:color="003366"/>
              <w:left w:val="nil"/>
              <w:bottom w:val="single" w:sz="4" w:space="0" w:color="003366"/>
              <w:right w:val="nil"/>
            </w:tcBorders>
            <w:vAlign w:val="bottom"/>
          </w:tcPr>
          <w:p w14:paraId="0CFD1D5B" w14:textId="53FD687C" w:rsidR="00197F68" w:rsidRPr="00755359" w:rsidRDefault="00AC3044">
            <w:pPr>
              <w:tabs>
                <w:tab w:val="center" w:pos="4115"/>
              </w:tabs>
              <w:spacing w:after="0" w:line="259" w:lineRule="auto"/>
              <w:ind w:left="0" w:right="0" w:firstLine="0"/>
              <w:jc w:val="left"/>
              <w:rPr>
                <w:rFonts w:asciiTheme="minorHAnsi" w:hAnsiTheme="minorHAnsi" w:cstheme="minorBidi"/>
                <w:szCs w:val="20"/>
              </w:rPr>
            </w:pPr>
            <w:hyperlink w:anchor="Bookmark8">
              <w:r w:rsidR="525A44FD" w:rsidRPr="3C548027">
                <w:rPr>
                  <w:rStyle w:val="Hyperlink"/>
                  <w:rFonts w:asciiTheme="minorHAnsi" w:hAnsiTheme="minorHAnsi" w:cstheme="minorBidi"/>
                  <w:szCs w:val="20"/>
                </w:rPr>
                <w:t>G. Can personal data be transferred to a country or territory outside the EEA?</w:t>
              </w:r>
            </w:hyperlink>
            <w:r w:rsidR="525A44FD" w:rsidRPr="3C548027">
              <w:rPr>
                <w:rFonts w:asciiTheme="minorHAnsi" w:hAnsiTheme="minorHAnsi" w:cstheme="minorBidi"/>
                <w:szCs w:val="20"/>
              </w:rPr>
              <w:t xml:space="preserve"> </w:t>
            </w:r>
            <w:r w:rsidR="4EF6F3FA" w:rsidRPr="3C548027">
              <w:rPr>
                <w:rFonts w:asciiTheme="minorHAnsi" w:hAnsiTheme="minorHAnsi" w:cstheme="minorBidi"/>
                <w:szCs w:val="20"/>
              </w:rPr>
              <w:t xml:space="preserve">     </w:t>
            </w:r>
          </w:p>
        </w:tc>
        <w:tc>
          <w:tcPr>
            <w:tcW w:w="942" w:type="dxa"/>
            <w:tcBorders>
              <w:top w:val="single" w:sz="4" w:space="0" w:color="003366"/>
              <w:left w:val="nil"/>
              <w:bottom w:val="single" w:sz="4" w:space="0" w:color="003366"/>
              <w:right w:val="nil"/>
            </w:tcBorders>
            <w:vAlign w:val="center"/>
          </w:tcPr>
          <w:p w14:paraId="655BF32A" w14:textId="6B5B9D68" w:rsidR="00197F68" w:rsidRPr="00755359" w:rsidRDefault="00B07E67" w:rsidP="0007307D">
            <w:pPr>
              <w:spacing w:after="0" w:line="259" w:lineRule="auto"/>
              <w:ind w:left="0" w:right="0" w:firstLine="0"/>
              <w:jc w:val="center"/>
              <w:rPr>
                <w:rFonts w:asciiTheme="minorHAnsi" w:hAnsiTheme="minorHAnsi" w:cstheme="minorBidi"/>
                <w:szCs w:val="20"/>
              </w:rPr>
            </w:pPr>
            <w:r w:rsidRPr="33AD9453">
              <w:rPr>
                <w:rFonts w:asciiTheme="minorHAnsi" w:hAnsiTheme="minorHAnsi" w:cstheme="minorBidi"/>
                <w:szCs w:val="20"/>
              </w:rPr>
              <w:t>1</w:t>
            </w:r>
            <w:r w:rsidR="00113EE2">
              <w:rPr>
                <w:rFonts w:asciiTheme="minorHAnsi" w:hAnsiTheme="minorHAnsi" w:cstheme="minorBidi"/>
                <w:szCs w:val="20"/>
              </w:rPr>
              <w:t>2</w:t>
            </w:r>
          </w:p>
        </w:tc>
      </w:tr>
      <w:tr w:rsidR="00197F68" w:rsidRPr="00755359" w14:paraId="2D825739" w14:textId="77777777" w:rsidTr="00121F69">
        <w:trPr>
          <w:trHeight w:val="430"/>
        </w:trPr>
        <w:tc>
          <w:tcPr>
            <w:tcW w:w="7975" w:type="dxa"/>
            <w:tcBorders>
              <w:top w:val="single" w:sz="4" w:space="0" w:color="003366"/>
              <w:left w:val="nil"/>
              <w:bottom w:val="single" w:sz="4" w:space="0" w:color="003366"/>
              <w:right w:val="nil"/>
            </w:tcBorders>
            <w:vAlign w:val="bottom"/>
          </w:tcPr>
          <w:p w14:paraId="0F4693CC" w14:textId="54D291A5" w:rsidR="00197F68" w:rsidRPr="00755359" w:rsidRDefault="00AC3044">
            <w:pPr>
              <w:tabs>
                <w:tab w:val="center" w:pos="2395"/>
              </w:tabs>
              <w:spacing w:after="0" w:line="259" w:lineRule="auto"/>
              <w:ind w:left="0" w:right="0" w:firstLine="0"/>
              <w:jc w:val="left"/>
              <w:rPr>
                <w:rFonts w:asciiTheme="minorHAnsi" w:hAnsiTheme="minorHAnsi" w:cstheme="minorBidi"/>
                <w:szCs w:val="20"/>
              </w:rPr>
            </w:pPr>
            <w:hyperlink w:anchor="Bookmark9">
              <w:r w:rsidR="525A44FD" w:rsidRPr="3C548027">
                <w:rPr>
                  <w:rStyle w:val="Hyperlink"/>
                  <w:rFonts w:asciiTheme="minorHAnsi" w:hAnsiTheme="minorHAnsi" w:cstheme="minorBidi"/>
                  <w:szCs w:val="20"/>
                </w:rPr>
                <w:t>H. Are there any relevant exemptions?</w:t>
              </w:r>
            </w:hyperlink>
            <w:r w:rsidR="525A44FD" w:rsidRPr="3C548027">
              <w:rPr>
                <w:rFonts w:asciiTheme="minorHAnsi" w:hAnsiTheme="minorHAnsi" w:cstheme="minorBidi"/>
                <w:szCs w:val="20"/>
              </w:rPr>
              <w:t xml:space="preserve"> </w:t>
            </w:r>
          </w:p>
        </w:tc>
        <w:tc>
          <w:tcPr>
            <w:tcW w:w="942" w:type="dxa"/>
            <w:tcBorders>
              <w:top w:val="single" w:sz="4" w:space="0" w:color="003366"/>
              <w:left w:val="nil"/>
              <w:bottom w:val="single" w:sz="4" w:space="0" w:color="003366"/>
              <w:right w:val="nil"/>
            </w:tcBorders>
            <w:vAlign w:val="center"/>
          </w:tcPr>
          <w:p w14:paraId="21A0B667" w14:textId="1344111A" w:rsidR="00197F68" w:rsidRPr="00755359" w:rsidRDefault="00B07E67" w:rsidP="0007307D">
            <w:pPr>
              <w:spacing w:after="0" w:line="259" w:lineRule="auto"/>
              <w:ind w:left="0" w:right="0" w:firstLine="0"/>
              <w:jc w:val="center"/>
              <w:rPr>
                <w:rFonts w:asciiTheme="minorHAnsi" w:hAnsiTheme="minorHAnsi" w:cstheme="minorBidi"/>
                <w:szCs w:val="20"/>
              </w:rPr>
            </w:pPr>
            <w:r w:rsidRPr="33AD9453">
              <w:rPr>
                <w:rFonts w:asciiTheme="minorHAnsi" w:hAnsiTheme="minorHAnsi" w:cstheme="minorBidi"/>
                <w:szCs w:val="20"/>
              </w:rPr>
              <w:t>1</w:t>
            </w:r>
            <w:r w:rsidR="004B301B">
              <w:rPr>
                <w:rFonts w:asciiTheme="minorHAnsi" w:hAnsiTheme="minorHAnsi" w:cstheme="minorBidi"/>
                <w:szCs w:val="20"/>
              </w:rPr>
              <w:t>3</w:t>
            </w:r>
          </w:p>
        </w:tc>
      </w:tr>
      <w:tr w:rsidR="00773528" w:rsidRPr="00E34942" w14:paraId="1305D5F6" w14:textId="77777777" w:rsidTr="00121F69">
        <w:trPr>
          <w:trHeight w:val="430"/>
        </w:trPr>
        <w:tc>
          <w:tcPr>
            <w:tcW w:w="7975" w:type="dxa"/>
            <w:tcBorders>
              <w:top w:val="single" w:sz="4" w:space="0" w:color="003366"/>
              <w:left w:val="nil"/>
              <w:bottom w:val="single" w:sz="4" w:space="0" w:color="003366"/>
              <w:right w:val="nil"/>
            </w:tcBorders>
            <w:vAlign w:val="bottom"/>
          </w:tcPr>
          <w:p w14:paraId="4D137224" w14:textId="43000501" w:rsidR="00773528" w:rsidRPr="00E34942" w:rsidRDefault="00EB7371">
            <w:pPr>
              <w:tabs>
                <w:tab w:val="center" w:pos="2395"/>
              </w:tabs>
              <w:spacing w:after="0" w:line="259" w:lineRule="auto"/>
              <w:ind w:left="0" w:right="0" w:firstLine="0"/>
              <w:jc w:val="left"/>
              <w:rPr>
                <w:szCs w:val="20"/>
              </w:rPr>
            </w:pPr>
            <w:hyperlink w:anchor="Bookmark12" w:history="1">
              <w:r w:rsidR="00773528" w:rsidRPr="00E34942">
                <w:rPr>
                  <w:rStyle w:val="Hyperlink"/>
                  <w:rFonts w:asciiTheme="minorHAnsi" w:hAnsiTheme="minorHAnsi" w:cstheme="minorBidi"/>
                  <w:szCs w:val="20"/>
                </w:rPr>
                <w:t>I. Practical consi</w:t>
              </w:r>
              <w:r w:rsidR="00773528" w:rsidRPr="00E34942">
                <w:rPr>
                  <w:rStyle w:val="Hyperlink"/>
                  <w:rFonts w:asciiTheme="minorHAnsi" w:hAnsiTheme="minorHAnsi" w:cstheme="minorBidi"/>
                  <w:szCs w:val="20"/>
                </w:rPr>
                <w:t>d</w:t>
              </w:r>
              <w:r w:rsidR="00773528" w:rsidRPr="00E34942">
                <w:rPr>
                  <w:rStyle w:val="Hyperlink"/>
                  <w:rFonts w:asciiTheme="minorHAnsi" w:hAnsiTheme="minorHAnsi" w:cstheme="minorBidi"/>
                  <w:szCs w:val="20"/>
                </w:rPr>
                <w:t>erations</w:t>
              </w:r>
            </w:hyperlink>
          </w:p>
        </w:tc>
        <w:tc>
          <w:tcPr>
            <w:tcW w:w="942" w:type="dxa"/>
            <w:tcBorders>
              <w:top w:val="single" w:sz="4" w:space="0" w:color="003366"/>
              <w:left w:val="nil"/>
              <w:bottom w:val="single" w:sz="4" w:space="0" w:color="003366"/>
              <w:right w:val="nil"/>
            </w:tcBorders>
            <w:vAlign w:val="center"/>
          </w:tcPr>
          <w:p w14:paraId="7E0EA611" w14:textId="111783DE" w:rsidR="00773528" w:rsidRPr="00E34942" w:rsidRDefault="00773528" w:rsidP="0007307D">
            <w:pPr>
              <w:spacing w:after="0" w:line="259" w:lineRule="auto"/>
              <w:ind w:left="0" w:right="0" w:firstLine="0"/>
              <w:jc w:val="center"/>
              <w:rPr>
                <w:rFonts w:asciiTheme="minorHAnsi" w:hAnsiTheme="minorHAnsi" w:cstheme="minorBidi"/>
                <w:szCs w:val="20"/>
              </w:rPr>
            </w:pPr>
            <w:r w:rsidRPr="00E34942">
              <w:rPr>
                <w:rFonts w:asciiTheme="minorHAnsi" w:hAnsiTheme="minorHAnsi" w:cstheme="minorBidi"/>
                <w:szCs w:val="20"/>
              </w:rPr>
              <w:t>1</w:t>
            </w:r>
            <w:r w:rsidR="00AC3044">
              <w:rPr>
                <w:rFonts w:asciiTheme="minorHAnsi" w:hAnsiTheme="minorHAnsi" w:cstheme="minorBidi"/>
                <w:szCs w:val="20"/>
              </w:rPr>
              <w:t>3</w:t>
            </w:r>
          </w:p>
        </w:tc>
      </w:tr>
      <w:tr w:rsidR="00773528" w:rsidRPr="00E34942" w14:paraId="4274EE9B" w14:textId="77777777" w:rsidTr="00121F69">
        <w:trPr>
          <w:trHeight w:val="430"/>
        </w:trPr>
        <w:tc>
          <w:tcPr>
            <w:tcW w:w="7975" w:type="dxa"/>
            <w:tcBorders>
              <w:top w:val="single" w:sz="4" w:space="0" w:color="003366"/>
              <w:left w:val="nil"/>
              <w:bottom w:val="single" w:sz="4" w:space="0" w:color="003366"/>
              <w:right w:val="nil"/>
            </w:tcBorders>
            <w:vAlign w:val="bottom"/>
          </w:tcPr>
          <w:p w14:paraId="7DBA7B64" w14:textId="71871C79" w:rsidR="00773528" w:rsidRPr="00E34942" w:rsidRDefault="00EB7371">
            <w:pPr>
              <w:tabs>
                <w:tab w:val="center" w:pos="2395"/>
              </w:tabs>
              <w:spacing w:after="0" w:line="259" w:lineRule="auto"/>
              <w:ind w:left="0" w:right="0" w:firstLine="0"/>
              <w:jc w:val="left"/>
              <w:rPr>
                <w:rFonts w:asciiTheme="majorHAnsi" w:hAnsiTheme="majorHAnsi" w:cstheme="majorHAnsi"/>
                <w:szCs w:val="20"/>
              </w:rPr>
            </w:pPr>
            <w:r w:rsidRPr="00E34942">
              <w:rPr>
                <w:rFonts w:asciiTheme="majorHAnsi" w:hAnsiTheme="majorHAnsi" w:cstheme="majorHAnsi"/>
                <w:szCs w:val="20"/>
              </w:rPr>
              <w:t xml:space="preserve">J. </w:t>
            </w:r>
            <w:hyperlink w:anchor="Bookmark16" w:history="1">
              <w:r w:rsidR="00773528" w:rsidRPr="00AC3044">
                <w:rPr>
                  <w:rStyle w:val="Hyperlink"/>
                  <w:rFonts w:asciiTheme="majorHAnsi" w:hAnsiTheme="majorHAnsi" w:cstheme="majorHAnsi"/>
                  <w:szCs w:val="20"/>
                </w:rPr>
                <w:t>Data Prote</w:t>
              </w:r>
              <w:r w:rsidR="00773528" w:rsidRPr="00AC3044">
                <w:rPr>
                  <w:rStyle w:val="Hyperlink"/>
                  <w:rFonts w:asciiTheme="majorHAnsi" w:hAnsiTheme="majorHAnsi" w:cstheme="majorHAnsi"/>
                  <w:szCs w:val="20"/>
                </w:rPr>
                <w:t>c</w:t>
              </w:r>
              <w:r w:rsidR="00773528" w:rsidRPr="00AC3044">
                <w:rPr>
                  <w:rStyle w:val="Hyperlink"/>
                  <w:rFonts w:asciiTheme="majorHAnsi" w:hAnsiTheme="majorHAnsi" w:cstheme="majorHAnsi"/>
                  <w:szCs w:val="20"/>
                </w:rPr>
                <w:t>tion / GDPR Checklist</w:t>
              </w:r>
            </w:hyperlink>
          </w:p>
        </w:tc>
        <w:tc>
          <w:tcPr>
            <w:tcW w:w="942" w:type="dxa"/>
            <w:tcBorders>
              <w:top w:val="single" w:sz="4" w:space="0" w:color="003366"/>
              <w:left w:val="nil"/>
              <w:bottom w:val="single" w:sz="4" w:space="0" w:color="003366"/>
              <w:right w:val="nil"/>
            </w:tcBorders>
            <w:vAlign w:val="center"/>
          </w:tcPr>
          <w:p w14:paraId="761C9B0B" w14:textId="528DA71D" w:rsidR="00773528" w:rsidRPr="00E34942" w:rsidRDefault="00051BC5" w:rsidP="0007307D">
            <w:pPr>
              <w:spacing w:after="0" w:line="259" w:lineRule="auto"/>
              <w:ind w:left="0" w:right="0" w:firstLine="0"/>
              <w:jc w:val="center"/>
              <w:rPr>
                <w:rFonts w:asciiTheme="majorHAnsi" w:hAnsiTheme="majorHAnsi" w:cstheme="majorHAnsi"/>
                <w:szCs w:val="20"/>
              </w:rPr>
            </w:pPr>
            <w:r w:rsidRPr="00E34942">
              <w:rPr>
                <w:rFonts w:asciiTheme="majorHAnsi" w:hAnsiTheme="majorHAnsi" w:cstheme="majorHAnsi"/>
                <w:szCs w:val="20"/>
              </w:rPr>
              <w:t>1</w:t>
            </w:r>
            <w:r w:rsidR="00AC3044">
              <w:rPr>
                <w:rFonts w:asciiTheme="majorHAnsi" w:hAnsiTheme="majorHAnsi" w:cstheme="majorHAnsi"/>
                <w:szCs w:val="20"/>
              </w:rPr>
              <w:t>4</w:t>
            </w:r>
          </w:p>
        </w:tc>
      </w:tr>
      <w:tr w:rsidR="00EB7371" w:rsidRPr="00E34942" w14:paraId="787703FB" w14:textId="77777777" w:rsidTr="00121F69">
        <w:trPr>
          <w:trHeight w:val="430"/>
        </w:trPr>
        <w:tc>
          <w:tcPr>
            <w:tcW w:w="7975" w:type="dxa"/>
            <w:tcBorders>
              <w:top w:val="single" w:sz="4" w:space="0" w:color="003366"/>
              <w:left w:val="nil"/>
              <w:bottom w:val="single" w:sz="4" w:space="0" w:color="003366"/>
              <w:right w:val="nil"/>
            </w:tcBorders>
            <w:vAlign w:val="bottom"/>
          </w:tcPr>
          <w:p w14:paraId="4B6FCA1D" w14:textId="53E2ADED" w:rsidR="00EB7371" w:rsidRPr="00E34942" w:rsidRDefault="00E34942">
            <w:pPr>
              <w:tabs>
                <w:tab w:val="center" w:pos="2395"/>
              </w:tabs>
              <w:spacing w:after="0" w:line="259" w:lineRule="auto"/>
              <w:ind w:left="0" w:right="0" w:firstLine="0"/>
              <w:jc w:val="left"/>
              <w:rPr>
                <w:rFonts w:asciiTheme="majorHAnsi" w:hAnsiTheme="majorHAnsi" w:cstheme="majorHAnsi"/>
                <w:szCs w:val="20"/>
              </w:rPr>
            </w:pPr>
            <w:hyperlink w:anchor="Bookmark14" w:history="1">
              <w:r w:rsidR="00EB7371" w:rsidRPr="00E34942">
                <w:rPr>
                  <w:rStyle w:val="Hyperlink"/>
                  <w:rFonts w:asciiTheme="majorHAnsi" w:hAnsiTheme="majorHAnsi" w:cstheme="majorHAnsi"/>
                  <w:szCs w:val="20"/>
                </w:rPr>
                <w:t>K. Further in</w:t>
              </w:r>
              <w:r w:rsidR="00EB7371" w:rsidRPr="00E34942">
                <w:rPr>
                  <w:rStyle w:val="Hyperlink"/>
                  <w:rFonts w:asciiTheme="majorHAnsi" w:hAnsiTheme="majorHAnsi" w:cstheme="majorHAnsi"/>
                  <w:szCs w:val="20"/>
                </w:rPr>
                <w:t>f</w:t>
              </w:r>
              <w:r w:rsidR="00EB7371" w:rsidRPr="00E34942">
                <w:rPr>
                  <w:rStyle w:val="Hyperlink"/>
                  <w:rFonts w:asciiTheme="majorHAnsi" w:hAnsiTheme="majorHAnsi" w:cstheme="majorHAnsi"/>
                  <w:szCs w:val="20"/>
                </w:rPr>
                <w:t>o</w:t>
              </w:r>
              <w:r w:rsidR="00EB7371" w:rsidRPr="00E34942">
                <w:rPr>
                  <w:rStyle w:val="Hyperlink"/>
                  <w:rFonts w:asciiTheme="majorHAnsi" w:hAnsiTheme="majorHAnsi" w:cstheme="majorHAnsi"/>
                  <w:szCs w:val="20"/>
                </w:rPr>
                <w:t>rmation</w:t>
              </w:r>
              <w:r w:rsidRPr="00E34942">
                <w:rPr>
                  <w:rStyle w:val="Hyperlink"/>
                  <w:rFonts w:asciiTheme="majorHAnsi" w:hAnsiTheme="majorHAnsi" w:cstheme="majorHAnsi"/>
                  <w:szCs w:val="20"/>
                </w:rPr>
                <w:t>/ usefu</w:t>
              </w:r>
              <w:r w:rsidRPr="00E34942">
                <w:rPr>
                  <w:rStyle w:val="Hyperlink"/>
                  <w:rFonts w:asciiTheme="majorHAnsi" w:hAnsiTheme="majorHAnsi" w:cstheme="majorHAnsi"/>
                  <w:szCs w:val="20"/>
                </w:rPr>
                <w:t>l</w:t>
              </w:r>
              <w:r w:rsidRPr="00E34942">
                <w:rPr>
                  <w:rStyle w:val="Hyperlink"/>
                  <w:rFonts w:asciiTheme="majorHAnsi" w:hAnsiTheme="majorHAnsi" w:cstheme="majorHAnsi"/>
                  <w:szCs w:val="20"/>
                </w:rPr>
                <w:t xml:space="preserve"> resources</w:t>
              </w:r>
            </w:hyperlink>
          </w:p>
        </w:tc>
        <w:tc>
          <w:tcPr>
            <w:tcW w:w="942" w:type="dxa"/>
            <w:tcBorders>
              <w:top w:val="single" w:sz="4" w:space="0" w:color="003366"/>
              <w:left w:val="nil"/>
              <w:bottom w:val="single" w:sz="4" w:space="0" w:color="003366"/>
              <w:right w:val="nil"/>
            </w:tcBorders>
            <w:vAlign w:val="center"/>
          </w:tcPr>
          <w:p w14:paraId="1AA9A04A" w14:textId="7E5D459E" w:rsidR="00EB7371" w:rsidRPr="00E34942" w:rsidRDefault="00EB7371" w:rsidP="0007307D">
            <w:pPr>
              <w:spacing w:after="0" w:line="259" w:lineRule="auto"/>
              <w:ind w:left="0" w:right="0" w:firstLine="0"/>
              <w:jc w:val="center"/>
              <w:rPr>
                <w:rFonts w:asciiTheme="majorHAnsi" w:hAnsiTheme="majorHAnsi" w:cstheme="majorHAnsi"/>
                <w:szCs w:val="20"/>
              </w:rPr>
            </w:pPr>
            <w:r w:rsidRPr="00E34942">
              <w:rPr>
                <w:rFonts w:asciiTheme="majorHAnsi" w:hAnsiTheme="majorHAnsi" w:cstheme="majorHAnsi"/>
                <w:szCs w:val="20"/>
              </w:rPr>
              <w:t>1</w:t>
            </w:r>
            <w:r w:rsidR="00AC3044">
              <w:rPr>
                <w:rFonts w:asciiTheme="majorHAnsi" w:hAnsiTheme="majorHAnsi" w:cstheme="majorHAnsi"/>
                <w:szCs w:val="20"/>
              </w:rPr>
              <w:t>5</w:t>
            </w:r>
          </w:p>
        </w:tc>
      </w:tr>
      <w:tr w:rsidR="00EB7371" w:rsidRPr="00E34942" w14:paraId="0B4DE00B" w14:textId="77777777" w:rsidTr="00121F69">
        <w:trPr>
          <w:trHeight w:val="430"/>
        </w:trPr>
        <w:tc>
          <w:tcPr>
            <w:tcW w:w="7975" w:type="dxa"/>
            <w:tcBorders>
              <w:top w:val="single" w:sz="4" w:space="0" w:color="003366"/>
              <w:left w:val="nil"/>
              <w:bottom w:val="single" w:sz="4" w:space="0" w:color="003366"/>
              <w:right w:val="nil"/>
            </w:tcBorders>
            <w:vAlign w:val="bottom"/>
          </w:tcPr>
          <w:p w14:paraId="6BE3482B" w14:textId="2645AED1" w:rsidR="00EB7371" w:rsidRPr="00E34942" w:rsidRDefault="00E34942">
            <w:pPr>
              <w:tabs>
                <w:tab w:val="center" w:pos="2395"/>
              </w:tabs>
              <w:spacing w:after="0" w:line="259" w:lineRule="auto"/>
              <w:ind w:left="0" w:right="0" w:firstLine="0"/>
              <w:jc w:val="left"/>
              <w:rPr>
                <w:rFonts w:asciiTheme="majorHAnsi" w:hAnsiTheme="majorHAnsi" w:cstheme="majorHAnsi"/>
                <w:szCs w:val="20"/>
              </w:rPr>
            </w:pPr>
            <w:hyperlink w:anchor="Bookmark15" w:history="1">
              <w:r w:rsidR="00EB7371" w:rsidRPr="00E34942">
                <w:rPr>
                  <w:rStyle w:val="Hyperlink"/>
                  <w:rFonts w:asciiTheme="majorHAnsi" w:hAnsiTheme="majorHAnsi" w:cstheme="majorHAnsi"/>
                  <w:szCs w:val="20"/>
                </w:rPr>
                <w:t xml:space="preserve">L.  </w:t>
              </w:r>
              <w:r w:rsidRPr="00E34942">
                <w:rPr>
                  <w:rStyle w:val="Hyperlink"/>
                  <w:rFonts w:asciiTheme="majorHAnsi" w:hAnsiTheme="majorHAnsi" w:cstheme="majorHAnsi"/>
                  <w:szCs w:val="20"/>
                </w:rPr>
                <w:t>Appen</w:t>
              </w:r>
              <w:r w:rsidRPr="00E34942">
                <w:rPr>
                  <w:rStyle w:val="Hyperlink"/>
                  <w:rFonts w:asciiTheme="majorHAnsi" w:hAnsiTheme="majorHAnsi" w:cstheme="majorHAnsi"/>
                  <w:szCs w:val="20"/>
                </w:rPr>
                <w:t>d</w:t>
              </w:r>
              <w:r w:rsidRPr="00E34942">
                <w:rPr>
                  <w:rStyle w:val="Hyperlink"/>
                  <w:rFonts w:asciiTheme="majorHAnsi" w:hAnsiTheme="majorHAnsi" w:cstheme="majorHAnsi"/>
                  <w:szCs w:val="20"/>
                </w:rPr>
                <w:t xml:space="preserve">ix A and </w:t>
              </w:r>
              <w:r w:rsidR="00EB7371" w:rsidRPr="00E34942">
                <w:rPr>
                  <w:rStyle w:val="Hyperlink"/>
                  <w:rFonts w:asciiTheme="majorHAnsi" w:hAnsiTheme="majorHAnsi" w:cstheme="majorHAnsi"/>
                  <w:szCs w:val="20"/>
                </w:rPr>
                <w:t>Appendix B</w:t>
              </w:r>
            </w:hyperlink>
          </w:p>
        </w:tc>
        <w:tc>
          <w:tcPr>
            <w:tcW w:w="942" w:type="dxa"/>
            <w:tcBorders>
              <w:top w:val="single" w:sz="4" w:space="0" w:color="003366"/>
              <w:left w:val="nil"/>
              <w:bottom w:val="single" w:sz="4" w:space="0" w:color="003366"/>
              <w:right w:val="nil"/>
            </w:tcBorders>
            <w:vAlign w:val="center"/>
          </w:tcPr>
          <w:p w14:paraId="09548A64" w14:textId="77FA8422" w:rsidR="00EB7371" w:rsidRPr="00E34942" w:rsidRDefault="00E34942" w:rsidP="0007307D">
            <w:pPr>
              <w:spacing w:after="0" w:line="259" w:lineRule="auto"/>
              <w:ind w:left="0" w:right="0" w:firstLine="0"/>
              <w:jc w:val="center"/>
              <w:rPr>
                <w:rFonts w:asciiTheme="majorHAnsi" w:hAnsiTheme="majorHAnsi" w:cstheme="majorHAnsi"/>
                <w:szCs w:val="20"/>
              </w:rPr>
            </w:pPr>
            <w:r>
              <w:rPr>
                <w:rFonts w:asciiTheme="majorHAnsi" w:hAnsiTheme="majorHAnsi" w:cstheme="majorHAnsi"/>
                <w:szCs w:val="20"/>
              </w:rPr>
              <w:t>1</w:t>
            </w:r>
            <w:r w:rsidR="00AC3044">
              <w:rPr>
                <w:rFonts w:asciiTheme="majorHAnsi" w:hAnsiTheme="majorHAnsi" w:cstheme="majorHAnsi"/>
                <w:szCs w:val="20"/>
              </w:rPr>
              <w:t>6</w:t>
            </w:r>
          </w:p>
        </w:tc>
      </w:tr>
    </w:tbl>
    <w:p w14:paraId="02F8869C" w14:textId="77777777" w:rsidR="00CF5A3E" w:rsidRPr="00E34942" w:rsidRDefault="00CF5A3E">
      <w:pPr>
        <w:spacing w:after="99"/>
        <w:ind w:left="9" w:right="58"/>
        <w:rPr>
          <w:rFonts w:asciiTheme="minorHAnsi" w:hAnsiTheme="minorHAnsi" w:cstheme="minorBidi"/>
          <w:szCs w:val="20"/>
        </w:rPr>
      </w:pPr>
    </w:p>
    <w:p w14:paraId="7CD4D517" w14:textId="2DDC9979" w:rsidR="00197F68" w:rsidRPr="00755359" w:rsidRDefault="00B07E67" w:rsidP="00AC3044">
      <w:pPr>
        <w:spacing w:after="99"/>
        <w:ind w:left="14" w:right="58" w:firstLine="0"/>
        <w:rPr>
          <w:rFonts w:asciiTheme="minorHAnsi" w:hAnsiTheme="minorHAnsi" w:cstheme="minorBidi"/>
        </w:rPr>
      </w:pPr>
      <w:r w:rsidRPr="33AD9453">
        <w:rPr>
          <w:rFonts w:asciiTheme="minorHAnsi" w:hAnsiTheme="minorHAnsi" w:cstheme="minorBidi"/>
        </w:rPr>
        <w:t xml:space="preserve">Researchers may need further guidance, particularly in applying legal requirements to specific projects. This is available from the </w:t>
      </w:r>
      <w:r w:rsidR="666E582E" w:rsidRPr="33AD9453">
        <w:rPr>
          <w:rFonts w:asciiTheme="minorHAnsi" w:hAnsiTheme="minorHAnsi" w:cstheme="minorBidi"/>
        </w:rPr>
        <w:t>university</w:t>
      </w:r>
      <w:r w:rsidRPr="33AD9453">
        <w:rPr>
          <w:rFonts w:asciiTheme="minorHAnsi" w:hAnsiTheme="minorHAnsi" w:cstheme="minorBidi"/>
        </w:rPr>
        <w:t xml:space="preserve">’s Information </w:t>
      </w:r>
      <w:r w:rsidR="083D40E8" w:rsidRPr="33AD9453">
        <w:rPr>
          <w:rFonts w:asciiTheme="minorHAnsi" w:hAnsiTheme="minorHAnsi" w:cstheme="minorBidi"/>
        </w:rPr>
        <w:t>Governance</w:t>
      </w:r>
      <w:r w:rsidRPr="33AD9453">
        <w:rPr>
          <w:rFonts w:asciiTheme="minorHAnsi" w:hAnsiTheme="minorHAnsi" w:cstheme="minorBidi"/>
        </w:rPr>
        <w:t xml:space="preserve"> Team and from the Legal</w:t>
      </w:r>
      <w:r w:rsidR="00A01A31" w:rsidRPr="33AD9453">
        <w:rPr>
          <w:rFonts w:asciiTheme="minorHAnsi" w:hAnsiTheme="minorHAnsi" w:cstheme="minorBidi"/>
        </w:rPr>
        <w:t xml:space="preserve"> Team</w:t>
      </w:r>
      <w:r w:rsidRPr="33AD9453">
        <w:rPr>
          <w:rFonts w:asciiTheme="minorHAnsi" w:hAnsiTheme="minorHAnsi" w:cstheme="minorBidi"/>
        </w:rPr>
        <w:t xml:space="preserve">. </w:t>
      </w:r>
    </w:p>
    <w:p w14:paraId="6E25008F" w14:textId="6B538653" w:rsidR="00197F68" w:rsidRPr="00AC3044" w:rsidRDefault="00B07E67" w:rsidP="00AC3044">
      <w:pPr>
        <w:spacing w:after="0" w:line="259" w:lineRule="auto"/>
        <w:ind w:left="14" w:right="0" w:firstLine="0"/>
        <w:jc w:val="left"/>
        <w:rPr>
          <w:rFonts w:asciiTheme="minorHAnsi" w:hAnsiTheme="minorHAnsi" w:cstheme="minorHAnsi"/>
        </w:rPr>
      </w:pPr>
      <w:r w:rsidRPr="00755359">
        <w:rPr>
          <w:rFonts w:asciiTheme="minorHAnsi" w:eastAsia="Arial" w:hAnsiTheme="minorHAnsi" w:cstheme="minorHAnsi"/>
          <w:color w:val="003366"/>
          <w:sz w:val="16"/>
        </w:rPr>
        <w:t xml:space="preserve">_____________________________________________________________________________________________ </w:t>
      </w:r>
    </w:p>
    <w:p w14:paraId="1C9360E4" w14:textId="07783556" w:rsidR="00197F68" w:rsidRPr="00755359" w:rsidRDefault="00B07E67">
      <w:pPr>
        <w:spacing w:after="1" w:line="239" w:lineRule="auto"/>
        <w:ind w:left="14" w:right="64" w:firstLine="0"/>
        <w:rPr>
          <w:rFonts w:asciiTheme="minorHAnsi" w:hAnsiTheme="minorHAnsi" w:cstheme="minorBidi"/>
        </w:rPr>
      </w:pPr>
      <w:r w:rsidRPr="33AD9453">
        <w:rPr>
          <w:rFonts w:asciiTheme="minorHAnsi" w:eastAsia="Arial" w:hAnsiTheme="minorHAnsi" w:cstheme="minorBidi"/>
          <w:sz w:val="16"/>
          <w:szCs w:val="16"/>
        </w:rPr>
        <w:t xml:space="preserve">This note was prepared for researchers based at the </w:t>
      </w:r>
      <w:r w:rsidR="000052D2" w:rsidRPr="33AD9453">
        <w:rPr>
          <w:rFonts w:asciiTheme="minorHAnsi" w:eastAsia="Arial" w:hAnsiTheme="minorHAnsi" w:cstheme="minorBidi"/>
          <w:sz w:val="16"/>
          <w:szCs w:val="16"/>
        </w:rPr>
        <w:t xml:space="preserve">Leeds Beckett </w:t>
      </w:r>
      <w:r w:rsidRPr="33AD9453">
        <w:rPr>
          <w:rFonts w:asciiTheme="minorHAnsi" w:eastAsia="Arial" w:hAnsiTheme="minorHAnsi" w:cstheme="minorBidi"/>
          <w:sz w:val="16"/>
          <w:szCs w:val="16"/>
        </w:rPr>
        <w:t xml:space="preserve">University and is provided for information purposes only. The information in it is therefore general in </w:t>
      </w:r>
      <w:r w:rsidR="008365A9" w:rsidRPr="33AD9453">
        <w:rPr>
          <w:rFonts w:asciiTheme="minorHAnsi" w:eastAsia="Arial" w:hAnsiTheme="minorHAnsi" w:cstheme="minorBidi"/>
          <w:sz w:val="16"/>
          <w:szCs w:val="16"/>
        </w:rPr>
        <w:t>nature and</w:t>
      </w:r>
      <w:r w:rsidRPr="33AD9453">
        <w:rPr>
          <w:rFonts w:asciiTheme="minorHAnsi" w:eastAsia="Arial" w:hAnsiTheme="minorHAnsi" w:cstheme="minorBidi"/>
          <w:sz w:val="16"/>
          <w:szCs w:val="16"/>
        </w:rPr>
        <w:t xml:space="preserve"> should not be considered or relied on as legal advice. You are strongly advised to obtain specific advice in relation to your </w:t>
      </w:r>
      <w:r w:rsidR="00507CB0" w:rsidRPr="33AD9453">
        <w:rPr>
          <w:rFonts w:asciiTheme="minorHAnsi" w:eastAsia="Arial" w:hAnsiTheme="minorHAnsi" w:cstheme="minorBidi"/>
          <w:sz w:val="16"/>
          <w:szCs w:val="16"/>
        </w:rPr>
        <w:t xml:space="preserve">research </w:t>
      </w:r>
      <w:r w:rsidRPr="33AD9453">
        <w:rPr>
          <w:rFonts w:asciiTheme="minorHAnsi" w:eastAsia="Arial" w:hAnsiTheme="minorHAnsi" w:cstheme="minorBidi"/>
          <w:sz w:val="16"/>
          <w:szCs w:val="16"/>
        </w:rPr>
        <w:t xml:space="preserve">project and not to rely on the information contained in this </w:t>
      </w:r>
      <w:r w:rsidR="00E07BFA" w:rsidRPr="33AD9453">
        <w:rPr>
          <w:rFonts w:asciiTheme="minorHAnsi" w:eastAsia="Arial" w:hAnsiTheme="minorHAnsi" w:cstheme="minorBidi"/>
          <w:sz w:val="16"/>
          <w:szCs w:val="16"/>
        </w:rPr>
        <w:t>guidance</w:t>
      </w:r>
      <w:r w:rsidRPr="33AD9453">
        <w:rPr>
          <w:rFonts w:asciiTheme="minorHAnsi" w:eastAsia="Arial" w:hAnsiTheme="minorHAnsi" w:cstheme="minorBidi"/>
          <w:sz w:val="16"/>
          <w:szCs w:val="16"/>
        </w:rPr>
        <w:t xml:space="preserve">. </w:t>
      </w:r>
    </w:p>
    <w:p w14:paraId="460B3A41" w14:textId="3B6ABD23" w:rsidR="00197F68" w:rsidRPr="00ED303D" w:rsidRDefault="00B07E67" w:rsidP="00323916">
      <w:pPr>
        <w:pStyle w:val="Heading1"/>
      </w:pPr>
      <w:bookmarkStart w:id="1" w:name="Bookmark2"/>
      <w:r w:rsidRPr="00ED303D">
        <w:lastRenderedPageBreak/>
        <w:t xml:space="preserve">A. </w:t>
      </w:r>
      <w:r w:rsidR="008C45ED" w:rsidRPr="00ED303D">
        <w:tab/>
      </w:r>
      <w:r w:rsidRPr="00ED303D">
        <w:t>What is data protection?</w:t>
      </w:r>
      <w:bookmarkEnd w:id="1"/>
    </w:p>
    <w:p w14:paraId="37C6A5A2" w14:textId="77777777"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t xml:space="preserve">In policy terms, data protection law aims to strike a balance between: (a) the privacy interests of individuals, </w:t>
      </w:r>
      <w:proofErr w:type="gramStart"/>
      <w:r w:rsidRPr="7E054CC7">
        <w:rPr>
          <w:rFonts w:asciiTheme="minorHAnsi" w:hAnsiTheme="minorHAnsi" w:cstheme="minorBidi"/>
        </w:rPr>
        <w:t>and,</w:t>
      </w:r>
      <w:proofErr w:type="gramEnd"/>
      <w:r w:rsidRPr="7E054CC7">
        <w:rPr>
          <w:rFonts w:asciiTheme="minorHAnsi" w:hAnsiTheme="minorHAnsi" w:cstheme="minorBidi"/>
        </w:rPr>
        <w:t xml:space="preserve"> (b) the needs of organisations to make fair and reasonable use of information relating to those individuals in their operations. It does not mean that researchers cannot make use of such information, or that they must always have an individual’s consent to do so, but it does impose controls and restrictions which must be complied with. </w:t>
      </w:r>
    </w:p>
    <w:p w14:paraId="5ACCFF68" w14:textId="77777777" w:rsidR="00197F68" w:rsidRPr="00755359" w:rsidRDefault="00B07E67" w:rsidP="7E054CC7">
      <w:pPr>
        <w:spacing w:after="261"/>
        <w:ind w:left="720" w:right="58" w:firstLine="0"/>
        <w:rPr>
          <w:rFonts w:asciiTheme="minorHAnsi" w:hAnsiTheme="minorHAnsi" w:cstheme="minorBidi"/>
        </w:rPr>
      </w:pPr>
      <w:r w:rsidRPr="7E054CC7">
        <w:rPr>
          <w:rFonts w:asciiTheme="minorHAnsi" w:hAnsiTheme="minorHAnsi" w:cstheme="minorBidi"/>
        </w:rPr>
        <w:t xml:space="preserve">Technology has made it possible to collect and use increasing amounts of information about individuals in ever more diverse ways. The GDPR will introduce a new framework to safeguard the rights of those individuals. </w:t>
      </w:r>
    </w:p>
    <w:p w14:paraId="056F2488" w14:textId="28DAF7B5" w:rsidR="00197F68" w:rsidRPr="00786D3E" w:rsidRDefault="00B07E67" w:rsidP="00323916">
      <w:pPr>
        <w:pStyle w:val="Heading1"/>
      </w:pPr>
      <w:bookmarkStart w:id="2" w:name="Bookmark3"/>
      <w:r w:rsidRPr="01B1D4DC">
        <w:t>B.</w:t>
      </w:r>
      <w:r w:rsidRPr="01B1D4DC">
        <w:rPr>
          <w:rFonts w:eastAsia="Arial"/>
        </w:rPr>
        <w:t xml:space="preserve"> </w:t>
      </w:r>
      <w:r w:rsidR="008C45ED">
        <w:tab/>
      </w:r>
      <w:r w:rsidRPr="01B1D4DC">
        <w:t xml:space="preserve">Why is data protection important? </w:t>
      </w:r>
      <w:bookmarkEnd w:id="2"/>
    </w:p>
    <w:p w14:paraId="0D80FB76" w14:textId="32B6C84C" w:rsidR="00DA524F" w:rsidRDefault="00B07E67" w:rsidP="7E054CC7">
      <w:pPr>
        <w:ind w:left="720" w:right="58" w:firstLine="0"/>
        <w:rPr>
          <w:rFonts w:asciiTheme="minorHAnsi" w:hAnsiTheme="minorHAnsi" w:cstheme="minorBidi"/>
          <w:color w:val="auto"/>
        </w:rPr>
      </w:pPr>
      <w:r w:rsidRPr="33AD9453">
        <w:rPr>
          <w:rFonts w:asciiTheme="minorHAnsi" w:hAnsiTheme="minorHAnsi" w:cstheme="minorBidi"/>
        </w:rPr>
        <w:t>Compliance with the GDPR is a legal requirement. Breaches of data protection law may result in investigations, significant fines, adverse publicity, and civil or criminal liability. Enforcement action may be taken by the Information Commissioner’s Office (the “</w:t>
      </w:r>
      <w:r w:rsidRPr="33AD9453">
        <w:rPr>
          <w:rFonts w:asciiTheme="minorHAnsi" w:hAnsiTheme="minorHAnsi" w:cstheme="minorBidi"/>
          <w:b/>
        </w:rPr>
        <w:t>ICO</w:t>
      </w:r>
      <w:r w:rsidRPr="33AD9453">
        <w:rPr>
          <w:rFonts w:asciiTheme="minorHAnsi" w:hAnsiTheme="minorHAnsi" w:cstheme="minorBidi"/>
        </w:rPr>
        <w:t xml:space="preserve">”), which has the power to issue fines or require changes in an organisation’s policies and procedures. If the </w:t>
      </w:r>
      <w:r w:rsidR="666E582E" w:rsidRPr="33AD9453">
        <w:rPr>
          <w:rFonts w:asciiTheme="minorHAnsi" w:hAnsiTheme="minorHAnsi" w:cstheme="minorBidi"/>
        </w:rPr>
        <w:t>university</w:t>
      </w:r>
      <w:r w:rsidRPr="33AD9453">
        <w:rPr>
          <w:rFonts w:asciiTheme="minorHAnsi" w:hAnsiTheme="minorHAnsi" w:cstheme="minorBidi"/>
        </w:rPr>
        <w:t xml:space="preserve"> fails to comply with its legal obligations, such an action could be taken against the </w:t>
      </w:r>
      <w:r w:rsidR="666E582E" w:rsidRPr="33AD9453">
        <w:rPr>
          <w:rFonts w:asciiTheme="minorHAnsi" w:hAnsiTheme="minorHAnsi" w:cstheme="minorBidi"/>
        </w:rPr>
        <w:t>university</w:t>
      </w:r>
      <w:r w:rsidRPr="33AD9453">
        <w:rPr>
          <w:rFonts w:asciiTheme="minorHAnsi" w:hAnsiTheme="minorHAnsi" w:cstheme="minorBidi"/>
        </w:rPr>
        <w:t xml:space="preserve"> and published on the ICO’s website, resulting in reputational damage. Individuals have extensive rights </w:t>
      </w:r>
      <w:r w:rsidR="004F634C" w:rsidRPr="33AD9453">
        <w:rPr>
          <w:rFonts w:asciiTheme="minorHAnsi" w:hAnsiTheme="minorHAnsi" w:cstheme="minorBidi"/>
        </w:rPr>
        <w:t xml:space="preserve">and freedoms </w:t>
      </w:r>
      <w:r w:rsidRPr="33AD9453">
        <w:rPr>
          <w:rFonts w:asciiTheme="minorHAnsi" w:hAnsiTheme="minorHAnsi" w:cstheme="minorBidi"/>
        </w:rPr>
        <w:t xml:space="preserve">under the GDPR, which they may exercise by submitting requests to organisations using their data </w:t>
      </w:r>
      <w:r w:rsidR="00DA524F" w:rsidRPr="33AD9453">
        <w:rPr>
          <w:rFonts w:asciiTheme="minorHAnsi" w:hAnsiTheme="minorHAnsi" w:cstheme="minorBidi"/>
        </w:rPr>
        <w:t xml:space="preserve">and how organisations comply with data protection </w:t>
      </w:r>
      <w:r w:rsidR="00DA524F" w:rsidRPr="33AD9453">
        <w:rPr>
          <w:rFonts w:asciiTheme="minorHAnsi" w:hAnsiTheme="minorHAnsi" w:cstheme="minorBidi"/>
          <w:color w:val="auto"/>
        </w:rPr>
        <w:t xml:space="preserve">principles </w:t>
      </w:r>
      <w:r w:rsidRPr="33AD9453">
        <w:rPr>
          <w:rFonts w:asciiTheme="minorHAnsi" w:hAnsiTheme="minorHAnsi" w:cstheme="minorBidi"/>
          <w:color w:val="auto"/>
        </w:rPr>
        <w:t>(see</w:t>
      </w:r>
      <w:r w:rsidRPr="00E61069">
        <w:rPr>
          <w:rFonts w:asciiTheme="minorHAnsi" w:hAnsiTheme="minorHAnsi" w:cstheme="minorBidi"/>
          <w:b/>
          <w:bCs/>
          <w:color w:val="auto"/>
        </w:rPr>
        <w:t xml:space="preserve"> </w:t>
      </w:r>
      <w:hyperlink w:anchor="_H.__Are" w:history="1">
        <w:r w:rsidR="00E61069" w:rsidRPr="00E61069">
          <w:rPr>
            <w:rStyle w:val="Hyperlink"/>
            <w:rFonts w:asciiTheme="minorHAnsi" w:hAnsiTheme="minorHAnsi" w:cstheme="minorBidi"/>
            <w:b/>
            <w:bCs/>
          </w:rPr>
          <w:t>Secti</w:t>
        </w:r>
        <w:r w:rsidR="00E61069" w:rsidRPr="00E61069">
          <w:rPr>
            <w:rStyle w:val="Hyperlink"/>
            <w:rFonts w:asciiTheme="minorHAnsi" w:hAnsiTheme="minorHAnsi" w:cstheme="minorBidi"/>
            <w:b/>
            <w:bCs/>
          </w:rPr>
          <w:t>o</w:t>
        </w:r>
        <w:r w:rsidR="00E61069" w:rsidRPr="00E61069">
          <w:rPr>
            <w:rStyle w:val="Hyperlink"/>
            <w:rFonts w:asciiTheme="minorHAnsi" w:hAnsiTheme="minorHAnsi" w:cstheme="minorBidi"/>
            <w:b/>
            <w:bCs/>
          </w:rPr>
          <w:t>n H</w:t>
        </w:r>
      </w:hyperlink>
      <w:r w:rsidRPr="33AD9453">
        <w:rPr>
          <w:rFonts w:asciiTheme="minorHAnsi" w:hAnsiTheme="minorHAnsi" w:cstheme="minorBidi"/>
          <w:color w:val="auto"/>
        </w:rPr>
        <w:t xml:space="preserve"> for further information). </w:t>
      </w:r>
    </w:p>
    <w:p w14:paraId="13D93087" w14:textId="20820F53" w:rsidR="00197F68" w:rsidRPr="00755359" w:rsidRDefault="00B07E67" w:rsidP="7E054CC7">
      <w:pPr>
        <w:ind w:left="720" w:right="57" w:hanging="11"/>
        <w:rPr>
          <w:rFonts w:asciiTheme="minorHAnsi" w:hAnsiTheme="minorHAnsi" w:cstheme="minorBidi"/>
        </w:rPr>
      </w:pPr>
      <w:r w:rsidRPr="33AD9453">
        <w:rPr>
          <w:rFonts w:asciiTheme="minorHAnsi" w:hAnsiTheme="minorHAnsi" w:cstheme="minorBidi"/>
        </w:rPr>
        <w:t xml:space="preserve">If they are dissatisfied with the </w:t>
      </w:r>
      <w:r w:rsidR="666E582E" w:rsidRPr="33AD9453">
        <w:rPr>
          <w:rFonts w:asciiTheme="minorHAnsi" w:hAnsiTheme="minorHAnsi" w:cstheme="minorBidi"/>
        </w:rPr>
        <w:t>university</w:t>
      </w:r>
      <w:r w:rsidRPr="33AD9453">
        <w:rPr>
          <w:rFonts w:asciiTheme="minorHAnsi" w:hAnsiTheme="minorHAnsi" w:cstheme="minorBidi"/>
        </w:rPr>
        <w:t xml:space="preserve">’s response, they may complain to the ICO. Individuals may also bring legal claims for damage or distress.   </w:t>
      </w:r>
    </w:p>
    <w:p w14:paraId="496CEA87" w14:textId="4A551084" w:rsidR="000760DD" w:rsidRPr="00755359" w:rsidRDefault="00B07E67" w:rsidP="7E054CC7">
      <w:pPr>
        <w:spacing w:after="172"/>
        <w:ind w:left="720" w:right="57" w:hanging="11"/>
        <w:rPr>
          <w:rFonts w:asciiTheme="minorHAnsi" w:hAnsiTheme="minorHAnsi" w:cstheme="minorBidi"/>
        </w:rPr>
      </w:pPr>
      <w:r w:rsidRPr="33AD9453">
        <w:rPr>
          <w:rFonts w:asciiTheme="minorHAnsi" w:hAnsiTheme="minorHAnsi" w:cstheme="minorBidi"/>
        </w:rPr>
        <w:t xml:space="preserve">More generally, the </w:t>
      </w:r>
      <w:r w:rsidR="666E582E" w:rsidRPr="33AD9453">
        <w:rPr>
          <w:rFonts w:asciiTheme="minorHAnsi" w:hAnsiTheme="minorHAnsi" w:cstheme="minorBidi"/>
        </w:rPr>
        <w:t>university</w:t>
      </w:r>
      <w:r w:rsidRPr="33AD9453">
        <w:rPr>
          <w:rFonts w:asciiTheme="minorHAnsi" w:hAnsiTheme="minorHAnsi" w:cstheme="minorBidi"/>
        </w:rPr>
        <w:t xml:space="preserve"> is committed to responsible processing of information relating to individuals and to respecting their rights to data privacy. Although the consideration of data protection law may seem like an additional burden, much of it is plain common sense and, indeed, oftentimes consistent with the ethical requirements of many research projects. </w:t>
      </w:r>
    </w:p>
    <w:p w14:paraId="0E276A96" w14:textId="735DA920" w:rsidR="00197F68" w:rsidRPr="00786D3E" w:rsidRDefault="00B07E67" w:rsidP="00323916">
      <w:pPr>
        <w:pStyle w:val="Heading1"/>
      </w:pPr>
      <w:bookmarkStart w:id="3" w:name="Bookmark4"/>
      <w:r w:rsidRPr="5482F567">
        <w:t>C.</w:t>
      </w:r>
      <w:r w:rsidRPr="5482F567">
        <w:rPr>
          <w:rFonts w:eastAsia="Arial"/>
        </w:rPr>
        <w:t xml:space="preserve"> </w:t>
      </w:r>
      <w:r w:rsidR="008C45ED">
        <w:tab/>
      </w:r>
      <w:r w:rsidRPr="5482F567">
        <w:t xml:space="preserve">Does your project involve information to which the GDPR applies? </w:t>
      </w:r>
      <w:bookmarkEnd w:id="3"/>
    </w:p>
    <w:p w14:paraId="1930B12B" w14:textId="77777777" w:rsidR="00197F68" w:rsidRPr="00755359" w:rsidRDefault="00B07E67" w:rsidP="7E054CC7">
      <w:pPr>
        <w:spacing w:after="262"/>
        <w:ind w:left="720" w:right="58" w:firstLine="0"/>
        <w:rPr>
          <w:rFonts w:asciiTheme="minorHAnsi" w:hAnsiTheme="minorHAnsi" w:cstheme="minorBidi"/>
        </w:rPr>
      </w:pPr>
      <w:r w:rsidRPr="7E054CC7">
        <w:rPr>
          <w:rFonts w:asciiTheme="minorHAnsi" w:hAnsiTheme="minorHAnsi" w:cstheme="minorBidi"/>
        </w:rPr>
        <w:t>The GDPR only applies to the “</w:t>
      </w:r>
      <w:r w:rsidRPr="7E054CC7">
        <w:rPr>
          <w:rFonts w:asciiTheme="minorHAnsi" w:hAnsiTheme="minorHAnsi" w:cstheme="minorBidi"/>
          <w:b/>
        </w:rPr>
        <w:t>processing</w:t>
      </w:r>
      <w:r w:rsidRPr="7E054CC7">
        <w:rPr>
          <w:rFonts w:asciiTheme="minorHAnsi" w:hAnsiTheme="minorHAnsi" w:cstheme="minorBidi"/>
        </w:rPr>
        <w:t>” of “</w:t>
      </w:r>
      <w:r w:rsidRPr="7E054CC7">
        <w:rPr>
          <w:rFonts w:asciiTheme="minorHAnsi" w:hAnsiTheme="minorHAnsi" w:cstheme="minorBidi"/>
          <w:b/>
        </w:rPr>
        <w:t>personal data</w:t>
      </w:r>
      <w:r w:rsidRPr="7E054CC7">
        <w:rPr>
          <w:rFonts w:asciiTheme="minorHAnsi" w:hAnsiTheme="minorHAnsi" w:cstheme="minorBidi"/>
        </w:rPr>
        <w:t xml:space="preserve">”. It will usually be obvious whether your project falls within the scope of the GDPR, but this may not always be the case and the constituent elements of this phrase are considered below. </w:t>
      </w:r>
    </w:p>
    <w:p w14:paraId="7C098CB1" w14:textId="02E36C75" w:rsidR="00197F68" w:rsidRPr="000D3411" w:rsidRDefault="008B211B" w:rsidP="000D3411">
      <w:pPr>
        <w:pStyle w:val="Heading2"/>
        <w:ind w:left="0"/>
      </w:pPr>
      <w:r w:rsidRPr="000D3411">
        <w:t>C</w:t>
      </w:r>
      <w:r w:rsidR="00707896" w:rsidRPr="000D3411">
        <w:t>1</w:t>
      </w:r>
      <w:r w:rsidR="00707896" w:rsidRPr="000D3411">
        <w:tab/>
      </w:r>
      <w:r w:rsidR="00B07E67" w:rsidRPr="000D3411">
        <w:t>Are you processing</w:t>
      </w:r>
      <w:r w:rsidR="00407BB1" w:rsidRPr="000D3411">
        <w:t xml:space="preserve"> personal data</w:t>
      </w:r>
      <w:r w:rsidR="00B07E67" w:rsidRPr="000D3411">
        <w:t xml:space="preserve">? </w:t>
      </w:r>
    </w:p>
    <w:p w14:paraId="59A6ED85" w14:textId="40E67D61" w:rsidR="0039689D" w:rsidRDefault="00B07E67" w:rsidP="7E054CC7">
      <w:pPr>
        <w:spacing w:after="259"/>
        <w:ind w:left="720" w:right="58" w:firstLine="0"/>
        <w:rPr>
          <w:rFonts w:asciiTheme="minorHAnsi" w:hAnsiTheme="minorHAnsi" w:cstheme="minorBidi"/>
        </w:rPr>
      </w:pPr>
      <w:r w:rsidRPr="7E054CC7">
        <w:rPr>
          <w:rFonts w:asciiTheme="minorHAnsi" w:hAnsiTheme="minorHAnsi" w:cstheme="minorBidi"/>
        </w:rPr>
        <w:t>Processing means almost anything a research team might do with personal data, including:</w:t>
      </w:r>
    </w:p>
    <w:p w14:paraId="4A46CF96" w14:textId="77777777" w:rsidR="0039689D"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collecting it; </w:t>
      </w:r>
    </w:p>
    <w:p w14:paraId="41117FB0" w14:textId="77777777" w:rsidR="0039689D"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holding or storing it; </w:t>
      </w:r>
    </w:p>
    <w:p w14:paraId="0A85F0D1" w14:textId="77777777" w:rsidR="0039689D"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retrieving, </w:t>
      </w:r>
    </w:p>
    <w:p w14:paraId="39C3EFFC" w14:textId="77777777" w:rsidR="0039689D"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consulting or using it; </w:t>
      </w:r>
    </w:p>
    <w:p w14:paraId="52CB9B00" w14:textId="77777777" w:rsidR="0039689D"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organising or adapting it; </w:t>
      </w:r>
    </w:p>
    <w:p w14:paraId="4E17A043" w14:textId="77777777" w:rsidR="0039689D"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publishing, </w:t>
      </w:r>
    </w:p>
    <w:p w14:paraId="7A05E916" w14:textId="77777777" w:rsidR="0039689D"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disclosing or sharing it; </w:t>
      </w:r>
    </w:p>
    <w:p w14:paraId="15676CD9" w14:textId="22C6A27D" w:rsidR="00197F68" w:rsidRPr="0039689D" w:rsidRDefault="00B07E67" w:rsidP="007A6C1B">
      <w:pPr>
        <w:pStyle w:val="ListParagraph"/>
        <w:numPr>
          <w:ilvl w:val="0"/>
          <w:numId w:val="3"/>
        </w:numPr>
        <w:spacing w:after="0"/>
        <w:ind w:right="57" w:firstLine="0"/>
        <w:rPr>
          <w:rFonts w:asciiTheme="minorHAnsi" w:hAnsiTheme="minorHAnsi" w:cstheme="minorBidi"/>
        </w:rPr>
      </w:pPr>
      <w:r w:rsidRPr="7E054CC7">
        <w:rPr>
          <w:rFonts w:asciiTheme="minorHAnsi" w:hAnsiTheme="minorHAnsi" w:cstheme="minorBidi"/>
        </w:rPr>
        <w:t xml:space="preserve">and even destroying it. </w:t>
      </w:r>
    </w:p>
    <w:p w14:paraId="39544FC8" w14:textId="77777777" w:rsidR="0039689D" w:rsidRPr="000F3B2E" w:rsidRDefault="0039689D" w:rsidP="008938F0">
      <w:pPr>
        <w:spacing w:after="0"/>
        <w:ind w:left="236" w:right="57" w:hanging="11"/>
        <w:rPr>
          <w:rFonts w:asciiTheme="minorHAnsi" w:hAnsiTheme="minorHAnsi" w:cstheme="minorHAnsi"/>
          <w:szCs w:val="20"/>
        </w:rPr>
      </w:pPr>
    </w:p>
    <w:p w14:paraId="3BC76EC3" w14:textId="01BA5D33" w:rsidR="00197F68" w:rsidRPr="00362FD0" w:rsidRDefault="00707896" w:rsidP="00961F16">
      <w:pPr>
        <w:pStyle w:val="Heading2"/>
        <w:ind w:left="0"/>
      </w:pPr>
      <w:r>
        <w:t>C2</w:t>
      </w:r>
      <w:r>
        <w:tab/>
      </w:r>
      <w:r w:rsidR="00B07E67" w:rsidRPr="7E054CC7">
        <w:t xml:space="preserve">Does your project involve personal data? </w:t>
      </w:r>
    </w:p>
    <w:p w14:paraId="6CF115F0" w14:textId="26B93892" w:rsidR="00197F68" w:rsidRPr="00FB2C5C" w:rsidRDefault="00B07E67" w:rsidP="005C7DD5">
      <w:pPr>
        <w:ind w:left="720" w:right="58" w:firstLine="0"/>
        <w:rPr>
          <w:rFonts w:asciiTheme="minorHAnsi" w:hAnsiTheme="minorHAnsi" w:cstheme="minorBidi"/>
        </w:rPr>
      </w:pPr>
      <w:r w:rsidRPr="33AD9453">
        <w:rPr>
          <w:rFonts w:asciiTheme="minorHAnsi" w:hAnsiTheme="minorHAnsi" w:cstheme="minorBidi"/>
        </w:rPr>
        <w:t xml:space="preserve">Personal data is information which relates to a living individual who can be identified from that information, whether directly or indirectly, and in particular by reference to an identifier. It includes, for example, a name, an identification number, location data, or an online identifier, such as the IP address, as long as that information can be linked by the University to a living individual. It could also include information that identifies an individual’s characteristics, whether physical, physiological, genetic, </w:t>
      </w:r>
      <w:proofErr w:type="gramStart"/>
      <w:r w:rsidRPr="33AD9453">
        <w:rPr>
          <w:rFonts w:asciiTheme="minorHAnsi" w:hAnsiTheme="minorHAnsi" w:cstheme="minorBidi"/>
        </w:rPr>
        <w:t>cultural</w:t>
      </w:r>
      <w:proofErr w:type="gramEnd"/>
      <w:r w:rsidRPr="33AD9453">
        <w:rPr>
          <w:rFonts w:asciiTheme="minorHAnsi" w:hAnsiTheme="minorHAnsi" w:cstheme="minorBidi"/>
        </w:rPr>
        <w:t xml:space="preserve"> or social.   </w:t>
      </w:r>
    </w:p>
    <w:p w14:paraId="77E395FD" w14:textId="4EEF197F"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lastRenderedPageBreak/>
        <w:t xml:space="preserve">This definition is intentionally broad, and its application to particular types of research data is considered in more detail below. Where there is any doubt, the ICO advises erring on the side of caution </w:t>
      </w:r>
      <w:r w:rsidR="576DE4A4" w:rsidRPr="7E054CC7">
        <w:rPr>
          <w:rFonts w:asciiTheme="minorHAnsi" w:hAnsiTheme="minorHAnsi" w:cstheme="minorBidi"/>
        </w:rPr>
        <w:t>regarding</w:t>
      </w:r>
      <w:r w:rsidRPr="7E054CC7">
        <w:rPr>
          <w:rFonts w:asciiTheme="minorHAnsi" w:hAnsiTheme="minorHAnsi" w:cstheme="minorBidi"/>
        </w:rPr>
        <w:t xml:space="preserve"> the interpretation of personal data and looking to the flexibility in the application of the data protection principles (see </w:t>
      </w:r>
      <w:hyperlink w:anchor="_F.__What" w:history="1">
        <w:r w:rsidR="00E61069" w:rsidRPr="00E61069">
          <w:rPr>
            <w:rStyle w:val="Hyperlink"/>
            <w:rFonts w:asciiTheme="minorHAnsi" w:hAnsiTheme="minorHAnsi" w:cstheme="minorBidi"/>
            <w:b/>
            <w:bCs/>
          </w:rPr>
          <w:t>S</w:t>
        </w:r>
        <w:r w:rsidRPr="00E61069">
          <w:rPr>
            <w:rStyle w:val="Hyperlink"/>
            <w:rFonts w:asciiTheme="minorHAnsi" w:hAnsiTheme="minorHAnsi" w:cstheme="minorBidi"/>
            <w:b/>
            <w:bCs/>
          </w:rPr>
          <w:t>ections F</w:t>
        </w:r>
      </w:hyperlink>
      <w:r w:rsidRPr="7E054CC7">
        <w:rPr>
          <w:rFonts w:asciiTheme="minorHAnsi" w:hAnsiTheme="minorHAnsi" w:cstheme="minorBidi"/>
        </w:rPr>
        <w:t xml:space="preserve"> and </w:t>
      </w:r>
      <w:hyperlink w:anchor="_G._Can_personal" w:history="1">
        <w:r w:rsidRPr="007C1259">
          <w:rPr>
            <w:rStyle w:val="Hyperlink"/>
            <w:rFonts w:asciiTheme="minorHAnsi" w:hAnsiTheme="minorHAnsi" w:cstheme="minorBidi"/>
            <w:b/>
            <w:bCs/>
          </w:rPr>
          <w:t>G</w:t>
        </w:r>
      </w:hyperlink>
      <w:r w:rsidRPr="007C1259">
        <w:rPr>
          <w:rFonts w:asciiTheme="minorHAnsi" w:hAnsiTheme="minorHAnsi" w:cstheme="minorBidi"/>
          <w:b/>
          <w:bCs/>
        </w:rPr>
        <w:t xml:space="preserve"> </w:t>
      </w:r>
      <w:r w:rsidRPr="7E054CC7">
        <w:rPr>
          <w:rFonts w:asciiTheme="minorHAnsi" w:hAnsiTheme="minorHAnsi" w:cstheme="minorBidi"/>
        </w:rPr>
        <w:t xml:space="preserve">below). </w:t>
      </w:r>
    </w:p>
    <w:p w14:paraId="70FE0A36" w14:textId="0F7475CA" w:rsidR="00197F68" w:rsidRPr="009E2C54" w:rsidRDefault="007D5778" w:rsidP="00961F16">
      <w:pPr>
        <w:pStyle w:val="Heading3"/>
      </w:pPr>
      <w:r>
        <w:t>C2.1</w:t>
      </w:r>
      <w:r>
        <w:tab/>
      </w:r>
      <w:r w:rsidR="00B07E67" w:rsidRPr="009E2C54">
        <w:t xml:space="preserve">Anonymous data </w:t>
      </w:r>
    </w:p>
    <w:p w14:paraId="5CDAAAD5" w14:textId="77777777"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t xml:space="preserve">The ability to identify the individual to whom the information relates is crucial to the definition of personal data. Where that individual cannot be identified, and it is not possible to re-identify the individual, the information will not constitute personal data and the duties and obligations of the GDPR will not apply. </w:t>
      </w:r>
    </w:p>
    <w:p w14:paraId="4BD898E7" w14:textId="4C3AAB29"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t xml:space="preserve">Researchers should, however, consider whether or not an individual is identifiable, notwithstanding the removal of the usual identifiers. </w:t>
      </w:r>
      <w:r w:rsidR="00DB50EF" w:rsidRPr="7E054CC7">
        <w:rPr>
          <w:rFonts w:asciiTheme="minorHAnsi" w:hAnsiTheme="minorHAnsi" w:cstheme="minorBidi"/>
        </w:rPr>
        <w:t>Indeed,</w:t>
      </w:r>
      <w:r w:rsidRPr="7E054CC7">
        <w:rPr>
          <w:rFonts w:asciiTheme="minorHAnsi" w:hAnsiTheme="minorHAnsi" w:cstheme="minorBidi"/>
        </w:rPr>
        <w:t xml:space="preserve"> a combination of details on a categorical level (</w:t>
      </w:r>
      <w:proofErr w:type="gramStart"/>
      <w:r w:rsidRPr="7E054CC7">
        <w:rPr>
          <w:rFonts w:asciiTheme="minorHAnsi" w:hAnsiTheme="minorHAnsi" w:cstheme="minorBidi"/>
        </w:rPr>
        <w:t>e.g.</w:t>
      </w:r>
      <w:proofErr w:type="gramEnd"/>
      <w:r w:rsidRPr="7E054CC7">
        <w:rPr>
          <w:rFonts w:asciiTheme="minorHAnsi" w:hAnsiTheme="minorHAnsi" w:cstheme="minorBidi"/>
        </w:rPr>
        <w:t xml:space="preserve"> age, regional origin, medical condition, etc.) may allow an individual to be recognised by narrowing down the group to which they belong. </w:t>
      </w:r>
    </w:p>
    <w:p w14:paraId="4F6EA27E" w14:textId="77777777" w:rsidR="00197F68" w:rsidRPr="00755359" w:rsidRDefault="00B07E67" w:rsidP="7E054CC7">
      <w:pPr>
        <w:spacing w:after="234"/>
        <w:ind w:left="720" w:right="58" w:firstLine="0"/>
        <w:rPr>
          <w:rFonts w:asciiTheme="minorHAnsi" w:hAnsiTheme="minorHAnsi" w:cstheme="minorBidi"/>
        </w:rPr>
      </w:pPr>
      <w:r w:rsidRPr="7E054CC7">
        <w:rPr>
          <w:rFonts w:asciiTheme="minorHAnsi" w:hAnsiTheme="minorHAnsi" w:cstheme="minorBidi"/>
        </w:rPr>
        <w:t xml:space="preserve">In determining whether an individual is identifiable, account should be taken of all the means reasonably likely to be used to identify that individual, whether by the research team or by any other person. While this does not include a mere hypothetical possibility, it does require consideration of the means that are likely to be used by a determined person with a particular reason to want to identify an individual. </w:t>
      </w:r>
    </w:p>
    <w:p w14:paraId="625CAE0A" w14:textId="5AD4F7EC" w:rsidR="00197F68" w:rsidRPr="00386022" w:rsidRDefault="007D5778" w:rsidP="00961F16">
      <w:pPr>
        <w:pStyle w:val="Heading3"/>
      </w:pPr>
      <w:r>
        <w:t>C2.2</w:t>
      </w:r>
      <w:r>
        <w:tab/>
      </w:r>
      <w:r w:rsidR="00B07E67" w:rsidRPr="00386022">
        <w:t xml:space="preserve">Pseudonymous data </w:t>
      </w:r>
    </w:p>
    <w:p w14:paraId="188D8F8D" w14:textId="77777777"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t xml:space="preserve">Pseudonymisation is the practice of disguising the identities of individuals to whom information relates. This usually involves the removal of common identifiers and the use of a pseudonym (often a randomly allocated number), so that data can be continually collected about the same individual without recording their identity. Pseudonymising data can be useful in research. </w:t>
      </w:r>
    </w:p>
    <w:p w14:paraId="739BEAE7" w14:textId="77777777" w:rsidR="00F6279E" w:rsidRDefault="00B07E67" w:rsidP="7E054CC7">
      <w:pPr>
        <w:spacing w:after="234"/>
        <w:ind w:left="720" w:right="58" w:firstLine="0"/>
        <w:rPr>
          <w:rFonts w:asciiTheme="minorHAnsi" w:hAnsiTheme="minorHAnsi" w:cstheme="minorBidi"/>
        </w:rPr>
      </w:pPr>
      <w:r w:rsidRPr="7E054CC7">
        <w:rPr>
          <w:rFonts w:asciiTheme="minorHAnsi" w:hAnsiTheme="minorHAnsi" w:cstheme="minorBidi"/>
        </w:rPr>
        <w:t>Pseudonymous data can be collected in such a way that no re-identification is possible (</w:t>
      </w:r>
      <w:proofErr w:type="gramStart"/>
      <w:r w:rsidRPr="7E054CC7">
        <w:rPr>
          <w:rFonts w:asciiTheme="minorHAnsi" w:hAnsiTheme="minorHAnsi" w:cstheme="minorBidi"/>
        </w:rPr>
        <w:t>e.g.</w:t>
      </w:r>
      <w:proofErr w:type="gramEnd"/>
      <w:r w:rsidRPr="7E054CC7">
        <w:rPr>
          <w:rFonts w:asciiTheme="minorHAnsi" w:hAnsiTheme="minorHAnsi" w:cstheme="minorBidi"/>
        </w:rPr>
        <w:t xml:space="preserve"> one-way cryptography), in which case it is essentially anonymous data and the considerations above apply. </w:t>
      </w:r>
    </w:p>
    <w:p w14:paraId="09C8C681" w14:textId="6EED7BDE" w:rsidR="00197F68" w:rsidRPr="00755359" w:rsidRDefault="00B07E67" w:rsidP="7E054CC7">
      <w:pPr>
        <w:spacing w:after="234"/>
        <w:ind w:left="720" w:right="58" w:firstLine="0"/>
        <w:rPr>
          <w:rFonts w:asciiTheme="minorHAnsi" w:hAnsiTheme="minorHAnsi" w:cstheme="minorBidi"/>
        </w:rPr>
      </w:pPr>
      <w:r w:rsidRPr="33AD9453">
        <w:rPr>
          <w:rFonts w:asciiTheme="minorHAnsi" w:hAnsiTheme="minorHAnsi" w:cstheme="minorBidi"/>
        </w:rPr>
        <w:t>However, it is often retraceable (</w:t>
      </w:r>
      <w:proofErr w:type="gramStart"/>
      <w:r w:rsidRPr="33AD9453">
        <w:rPr>
          <w:rFonts w:asciiTheme="minorHAnsi" w:hAnsiTheme="minorHAnsi" w:cstheme="minorBidi"/>
        </w:rPr>
        <w:t>e.g.</w:t>
      </w:r>
      <w:proofErr w:type="gramEnd"/>
      <w:r w:rsidRPr="33AD9453">
        <w:rPr>
          <w:rFonts w:asciiTheme="minorHAnsi" w:hAnsiTheme="minorHAnsi" w:cstheme="minorBidi"/>
        </w:rPr>
        <w:t xml:space="preserve"> key-coding and two-way cryptography) and therefore may be personal data. Where the researcher (or any other person operating within the </w:t>
      </w:r>
      <w:r w:rsidR="666E582E" w:rsidRPr="33AD9453">
        <w:rPr>
          <w:rFonts w:asciiTheme="minorHAnsi" w:hAnsiTheme="minorHAnsi" w:cstheme="minorBidi"/>
        </w:rPr>
        <w:t>university</w:t>
      </w:r>
      <w:r w:rsidRPr="33AD9453">
        <w:rPr>
          <w:rFonts w:asciiTheme="minorHAnsi" w:hAnsiTheme="minorHAnsi" w:cstheme="minorBidi"/>
        </w:rPr>
        <w:t>) possesses the means to identify any of the individuals to whom the information relates, that information will still constitute personal data.  Where, however, the pseudonymised data is received from or supplied to third parties without the means to identify the individuals, the effectiveness of the pseudonymisation will depend on a number of factors (</w:t>
      </w:r>
      <w:proofErr w:type="gramStart"/>
      <w:r w:rsidRPr="33AD9453">
        <w:rPr>
          <w:rFonts w:asciiTheme="minorHAnsi" w:hAnsiTheme="minorHAnsi" w:cstheme="minorBidi"/>
        </w:rPr>
        <w:t>e.g.</w:t>
      </w:r>
      <w:proofErr w:type="gramEnd"/>
      <w:r w:rsidRPr="33AD9453">
        <w:rPr>
          <w:rFonts w:asciiTheme="minorHAnsi" w:hAnsiTheme="minorHAnsi" w:cstheme="minorBidi"/>
        </w:rPr>
        <w:t xml:space="preserve"> how secure it is against reverse tracing, and the size of the population in which the individual is concealed). </w:t>
      </w:r>
    </w:p>
    <w:p w14:paraId="7673F1C4" w14:textId="63FC0313" w:rsidR="00197F68" w:rsidRPr="00961F16" w:rsidRDefault="007D5778" w:rsidP="00961F16">
      <w:pPr>
        <w:pStyle w:val="Heading3"/>
      </w:pPr>
      <w:r w:rsidRPr="00961F16">
        <w:t>C2.3</w:t>
      </w:r>
      <w:r w:rsidRPr="00961F16">
        <w:tab/>
      </w:r>
      <w:r w:rsidR="00B07E67" w:rsidRPr="00961F16">
        <w:t xml:space="preserve">Aggregated data </w:t>
      </w:r>
    </w:p>
    <w:p w14:paraId="590EE12A" w14:textId="1996510C" w:rsidR="00197F68" w:rsidRPr="00755359" w:rsidRDefault="00B07E67" w:rsidP="008A1626">
      <w:pPr>
        <w:spacing w:after="234"/>
        <w:ind w:left="720" w:right="58" w:firstLine="0"/>
        <w:rPr>
          <w:rFonts w:asciiTheme="minorHAnsi" w:hAnsiTheme="minorHAnsi" w:cstheme="minorBidi"/>
        </w:rPr>
      </w:pPr>
      <w:r w:rsidRPr="7E054CC7">
        <w:rPr>
          <w:rFonts w:asciiTheme="minorHAnsi" w:hAnsiTheme="minorHAnsi" w:cstheme="minorBidi"/>
        </w:rPr>
        <w:t xml:space="preserve">Aggregation is the process of combining information about many individuals into broad classes, </w:t>
      </w:r>
      <w:proofErr w:type="gramStart"/>
      <w:r w:rsidRPr="7E054CC7">
        <w:rPr>
          <w:rFonts w:asciiTheme="minorHAnsi" w:hAnsiTheme="minorHAnsi" w:cstheme="minorBidi"/>
        </w:rPr>
        <w:t>groups</w:t>
      </w:r>
      <w:proofErr w:type="gramEnd"/>
      <w:r w:rsidRPr="7E054CC7">
        <w:rPr>
          <w:rFonts w:asciiTheme="minorHAnsi" w:hAnsiTheme="minorHAnsi" w:cstheme="minorBidi"/>
        </w:rPr>
        <w:t xml:space="preserve"> or categories, so that it is no longer possible to distinguish information relating to those</w:t>
      </w:r>
      <w:r w:rsidR="008A1626">
        <w:rPr>
          <w:rFonts w:asciiTheme="minorHAnsi" w:hAnsiTheme="minorHAnsi" w:cstheme="minorBidi"/>
        </w:rPr>
        <w:t xml:space="preserve"> </w:t>
      </w:r>
      <w:r w:rsidRPr="7E054CC7">
        <w:rPr>
          <w:rFonts w:asciiTheme="minorHAnsi" w:hAnsiTheme="minorHAnsi" w:cstheme="minorBidi"/>
        </w:rPr>
        <w:t>individuals. It follows that this data should not be personal data, but its effectiveness will depend on such factors as the size of the population in which the individual is concealed.</w:t>
      </w:r>
    </w:p>
    <w:p w14:paraId="2AE0F6EE" w14:textId="6FDDEC32" w:rsidR="00197F68" w:rsidRPr="00386022" w:rsidRDefault="007D5778" w:rsidP="00961F16">
      <w:pPr>
        <w:pStyle w:val="Heading3"/>
      </w:pPr>
      <w:r>
        <w:t>C2.4</w:t>
      </w:r>
      <w:r>
        <w:tab/>
      </w:r>
      <w:r w:rsidR="00B07E67" w:rsidRPr="00386022">
        <w:t xml:space="preserve">Biometric data, </w:t>
      </w:r>
      <w:proofErr w:type="gramStart"/>
      <w:r w:rsidR="00B07E67" w:rsidRPr="00386022">
        <w:t>DNA</w:t>
      </w:r>
      <w:proofErr w:type="gramEnd"/>
      <w:r w:rsidR="00B07E67" w:rsidRPr="00386022">
        <w:t xml:space="preserve"> and human tissue samples </w:t>
      </w:r>
    </w:p>
    <w:p w14:paraId="136DC6CE" w14:textId="77777777"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t xml:space="preserve">The definition of personal data in the GDPR includes biometric data where it allows the unique identification of an individual, as well as genetic data. The term biometric data is used here to describe those intrinsic, biological, </w:t>
      </w:r>
      <w:proofErr w:type="gramStart"/>
      <w:r w:rsidRPr="7E054CC7">
        <w:rPr>
          <w:rFonts w:asciiTheme="minorHAnsi" w:hAnsiTheme="minorHAnsi" w:cstheme="minorBidi"/>
        </w:rPr>
        <w:t>physical</w:t>
      </w:r>
      <w:proofErr w:type="gramEnd"/>
      <w:r w:rsidRPr="7E054CC7">
        <w:rPr>
          <w:rFonts w:asciiTheme="minorHAnsi" w:hAnsiTheme="minorHAnsi" w:cstheme="minorBidi"/>
        </w:rPr>
        <w:t xml:space="preserve"> or behavioural traits that are both unique to an individual and measurable. Examples commonly include fingerprints, retinal patterns, facial structure, voice, hand geometry, and vein patterns; but biometric data also includes deeply ingrained skills and behaviours (</w:t>
      </w:r>
      <w:proofErr w:type="gramStart"/>
      <w:r w:rsidRPr="7E054CC7">
        <w:rPr>
          <w:rFonts w:asciiTheme="minorHAnsi" w:hAnsiTheme="minorHAnsi" w:cstheme="minorBidi"/>
        </w:rPr>
        <w:t>e.g.</w:t>
      </w:r>
      <w:proofErr w:type="gramEnd"/>
      <w:r w:rsidRPr="7E054CC7">
        <w:rPr>
          <w:rFonts w:asciiTheme="minorHAnsi" w:hAnsiTheme="minorHAnsi" w:cstheme="minorBidi"/>
        </w:rPr>
        <w:t xml:space="preserve"> a handwritten signature and a particular way of walking or speaking). </w:t>
      </w:r>
    </w:p>
    <w:p w14:paraId="7570851B" w14:textId="77777777"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t xml:space="preserve">Biometric data has a dual character in that it is both information about a particular individual and information which is capable of identifying an individual. DNA shares this duality of character. Accordingly, in most cases biometric data and DNA will be personal data for the purposes of the GDPR, in which case it will also be “special category personal data” (see below). </w:t>
      </w:r>
    </w:p>
    <w:p w14:paraId="78AF4674" w14:textId="4263A340" w:rsidR="00197F68" w:rsidRPr="00755359" w:rsidRDefault="00B07E67" w:rsidP="7E054CC7">
      <w:pPr>
        <w:spacing w:after="233"/>
        <w:ind w:left="720" w:right="58" w:firstLine="0"/>
        <w:rPr>
          <w:rFonts w:asciiTheme="minorHAnsi" w:hAnsiTheme="minorHAnsi" w:cstheme="minorBidi"/>
        </w:rPr>
      </w:pPr>
      <w:r w:rsidRPr="7E054CC7">
        <w:rPr>
          <w:rFonts w:asciiTheme="minorHAnsi" w:hAnsiTheme="minorHAnsi" w:cstheme="minorBidi"/>
        </w:rPr>
        <w:lastRenderedPageBreak/>
        <w:t>Human tissue samples may provide a source from which biometric data can be extracted, but they are not biometric data themselves; that is, the extraction of information from samples may result in the collection of personal data. The collection, storage and use of tissue samples are subject to different laws, except that those samples may be accompanied by information (</w:t>
      </w:r>
      <w:proofErr w:type="gramStart"/>
      <w:r w:rsidRPr="7E054CC7">
        <w:rPr>
          <w:rFonts w:asciiTheme="minorHAnsi" w:hAnsiTheme="minorHAnsi" w:cstheme="minorBidi"/>
        </w:rPr>
        <w:t>e.g.</w:t>
      </w:r>
      <w:proofErr w:type="gramEnd"/>
      <w:r w:rsidRPr="7E054CC7">
        <w:rPr>
          <w:rFonts w:asciiTheme="minorHAnsi" w:hAnsiTheme="minorHAnsi" w:cstheme="minorBidi"/>
        </w:rPr>
        <w:t xml:space="preserve"> name, age, etc.) which also constitutes personal data.</w:t>
      </w:r>
    </w:p>
    <w:p w14:paraId="772ED4D6" w14:textId="0318DCE5" w:rsidR="00197F68" w:rsidRPr="00362FD0" w:rsidRDefault="007D5778" w:rsidP="00961F16">
      <w:pPr>
        <w:pStyle w:val="Heading3"/>
      </w:pPr>
      <w:r>
        <w:t>C2.5</w:t>
      </w:r>
      <w:r>
        <w:tab/>
      </w:r>
      <w:r w:rsidR="00B07E67" w:rsidRPr="7E054CC7">
        <w:t xml:space="preserve">Photographs, </w:t>
      </w:r>
      <w:r w:rsidR="00F8553F" w:rsidRPr="7E054CC7">
        <w:t xml:space="preserve">images, </w:t>
      </w:r>
      <w:proofErr w:type="gramStart"/>
      <w:r w:rsidR="00B07E67" w:rsidRPr="7E054CC7">
        <w:t>videos</w:t>
      </w:r>
      <w:proofErr w:type="gramEnd"/>
      <w:r w:rsidR="00B07E67" w:rsidRPr="7E054CC7">
        <w:t xml:space="preserve"> and sound recordings </w:t>
      </w:r>
    </w:p>
    <w:p w14:paraId="5AF994F0" w14:textId="4AFF9415" w:rsidR="00D030E3" w:rsidRDefault="00B07E67" w:rsidP="7E054CC7">
      <w:pPr>
        <w:spacing w:after="234"/>
        <w:ind w:left="730" w:right="58"/>
        <w:rPr>
          <w:rFonts w:asciiTheme="minorHAnsi" w:hAnsiTheme="minorHAnsi" w:cstheme="minorBidi"/>
        </w:rPr>
      </w:pPr>
      <w:r w:rsidRPr="7E054CC7">
        <w:rPr>
          <w:rFonts w:asciiTheme="minorHAnsi" w:hAnsiTheme="minorHAnsi" w:cstheme="minorBidi"/>
        </w:rPr>
        <w:t xml:space="preserve">Where an individual participates in research which involves a recorded interview, that individual may disclose personal data about themselves or other people. However, researchers should also be aware that the existence of photographs, </w:t>
      </w:r>
      <w:r w:rsidR="00015781" w:rsidRPr="7E054CC7">
        <w:rPr>
          <w:rFonts w:asciiTheme="minorHAnsi" w:hAnsiTheme="minorHAnsi" w:cstheme="minorBidi"/>
        </w:rPr>
        <w:t xml:space="preserve">images, </w:t>
      </w:r>
      <w:proofErr w:type="gramStart"/>
      <w:r w:rsidRPr="7E054CC7">
        <w:rPr>
          <w:rFonts w:asciiTheme="minorHAnsi" w:hAnsiTheme="minorHAnsi" w:cstheme="minorBidi"/>
        </w:rPr>
        <w:t>videos</w:t>
      </w:r>
      <w:proofErr w:type="gramEnd"/>
      <w:r w:rsidRPr="7E054CC7">
        <w:rPr>
          <w:rFonts w:asciiTheme="minorHAnsi" w:hAnsiTheme="minorHAnsi" w:cstheme="minorBidi"/>
        </w:rPr>
        <w:t xml:space="preserve"> and sound recordings of people (whether or not those individuals voluntarily disclose any information) may comprise information about that individual and may allow that individual to be identified. Accordingly, these are media which are capable of being </w:t>
      </w:r>
      <w:r w:rsidR="00015781" w:rsidRPr="7E054CC7">
        <w:rPr>
          <w:rFonts w:asciiTheme="minorHAnsi" w:hAnsiTheme="minorHAnsi" w:cstheme="minorBidi"/>
        </w:rPr>
        <w:t xml:space="preserve">considered as </w:t>
      </w:r>
      <w:r w:rsidRPr="7E054CC7">
        <w:rPr>
          <w:rFonts w:asciiTheme="minorHAnsi" w:hAnsiTheme="minorHAnsi" w:cstheme="minorBidi"/>
        </w:rPr>
        <w:t xml:space="preserve">personal data). </w:t>
      </w:r>
    </w:p>
    <w:p w14:paraId="5AA809F4" w14:textId="157DB5C9" w:rsidR="00197F68" w:rsidRDefault="00B07E67" w:rsidP="00323916">
      <w:pPr>
        <w:pStyle w:val="Heading1"/>
      </w:pPr>
      <w:bookmarkStart w:id="4" w:name="Bookmark5"/>
      <w:r w:rsidRPr="5CFF6445">
        <w:t>D.</w:t>
      </w:r>
      <w:r w:rsidRPr="5CFF6445">
        <w:rPr>
          <w:rFonts w:eastAsia="Arial"/>
        </w:rPr>
        <w:t xml:space="preserve"> </w:t>
      </w:r>
      <w:r w:rsidR="008C45ED">
        <w:rPr>
          <w:rFonts w:eastAsia="Arial"/>
        </w:rPr>
        <w:tab/>
      </w:r>
      <w:r w:rsidRPr="5CFF6445">
        <w:t>What is special category personal data</w:t>
      </w:r>
      <w:r w:rsidRPr="5CFF6445">
        <w:rPr>
          <w:vertAlign w:val="superscript"/>
        </w:rPr>
        <w:footnoteReference w:id="2"/>
      </w:r>
      <w:r w:rsidRPr="5CFF6445">
        <w:t>?</w:t>
      </w:r>
      <w:bookmarkEnd w:id="4"/>
    </w:p>
    <w:p w14:paraId="12B3A721" w14:textId="77777777" w:rsidR="00E570DB" w:rsidRPr="00E570DB" w:rsidRDefault="00E570DB" w:rsidP="00E570DB">
      <w:pPr>
        <w:spacing w:after="0" w:line="240" w:lineRule="auto"/>
        <w:ind w:left="22" w:right="62" w:hanging="11"/>
      </w:pPr>
    </w:p>
    <w:p w14:paraId="1F243A93" w14:textId="0F49882F" w:rsidR="006D63B4" w:rsidRPr="00AB0DB8" w:rsidRDefault="00B07E67" w:rsidP="00FF6586">
      <w:pPr>
        <w:pBdr>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pBdr>
        <w:shd w:val="clear" w:color="auto" w:fill="E5DFEC" w:themeFill="accent4" w:themeFillTint="33"/>
        <w:spacing w:after="0" w:line="240" w:lineRule="auto"/>
        <w:ind w:left="720" w:right="88" w:hanging="11"/>
        <w:rPr>
          <w:rFonts w:asciiTheme="minorHAnsi" w:hAnsiTheme="minorHAnsi" w:cstheme="minorBidi"/>
        </w:rPr>
      </w:pPr>
      <w:r w:rsidRPr="00AB0DB8">
        <w:rPr>
          <w:rFonts w:asciiTheme="minorHAnsi" w:hAnsiTheme="minorHAnsi" w:cstheme="minorBidi"/>
        </w:rPr>
        <w:t>The GDPR recognises that some categories of personal data are particularly private and/or could be used in a discriminatory way. As a result, the GDPR requires researchers to treat this “</w:t>
      </w:r>
      <w:r w:rsidRPr="00AB0DB8">
        <w:rPr>
          <w:rFonts w:asciiTheme="minorHAnsi" w:hAnsiTheme="minorHAnsi" w:cstheme="minorBidi"/>
          <w:b/>
          <w:bCs/>
        </w:rPr>
        <w:t>special category personal data</w:t>
      </w:r>
      <w:r w:rsidRPr="00AB0DB8">
        <w:rPr>
          <w:rFonts w:asciiTheme="minorHAnsi" w:hAnsiTheme="minorHAnsi" w:cstheme="minorBidi"/>
        </w:rPr>
        <w:t>” with greater care.</w:t>
      </w:r>
    </w:p>
    <w:p w14:paraId="12FA1C37" w14:textId="77777777" w:rsidR="006D63B4" w:rsidRPr="00AB0DB8" w:rsidRDefault="006D63B4" w:rsidP="00FF6586">
      <w:pPr>
        <w:pBdr>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pBdr>
        <w:shd w:val="clear" w:color="auto" w:fill="E5DFEC" w:themeFill="accent4" w:themeFillTint="33"/>
        <w:spacing w:after="0" w:line="240" w:lineRule="auto"/>
        <w:ind w:left="720" w:right="88" w:hanging="11"/>
        <w:rPr>
          <w:rFonts w:asciiTheme="minorHAnsi" w:hAnsiTheme="minorHAnsi" w:cstheme="minorBidi"/>
        </w:rPr>
      </w:pPr>
    </w:p>
    <w:p w14:paraId="4990233F" w14:textId="349188F0" w:rsidR="00197F68" w:rsidRPr="00AB0DB8" w:rsidRDefault="00B07E67" w:rsidP="00FF6586">
      <w:pPr>
        <w:pBdr>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pBdr>
        <w:shd w:val="clear" w:color="auto" w:fill="E5DFEC" w:themeFill="accent4" w:themeFillTint="33"/>
        <w:spacing w:after="0" w:line="240" w:lineRule="auto"/>
        <w:ind w:left="720" w:right="88" w:hanging="11"/>
        <w:rPr>
          <w:rFonts w:asciiTheme="minorHAnsi" w:hAnsiTheme="minorHAnsi" w:cstheme="minorBidi"/>
        </w:rPr>
      </w:pPr>
      <w:r w:rsidRPr="00AB0DB8">
        <w:rPr>
          <w:rFonts w:asciiTheme="minorHAnsi" w:hAnsiTheme="minorHAnsi" w:cstheme="minorBidi"/>
        </w:rPr>
        <w:t>Special category personal data includes any personal data consisting of the following information: racial or ethnic origin; political opinions; religious or philosophical beliefs; trade union membership; genetic data; biometric data for the purpose of uniquely identifying a person; health; sex life and sexual</w:t>
      </w:r>
      <w:r w:rsidR="00CA14BC" w:rsidRPr="00AB0DB8">
        <w:rPr>
          <w:rFonts w:asciiTheme="minorHAnsi" w:hAnsiTheme="minorHAnsi" w:cstheme="minorBidi"/>
        </w:rPr>
        <w:t xml:space="preserve"> ori</w:t>
      </w:r>
      <w:r w:rsidR="00550422" w:rsidRPr="00AB0DB8">
        <w:rPr>
          <w:rFonts w:asciiTheme="minorHAnsi" w:hAnsiTheme="minorHAnsi" w:cstheme="minorBidi"/>
        </w:rPr>
        <w:t>entation</w:t>
      </w:r>
      <w:r w:rsidRPr="00AB0DB8">
        <w:rPr>
          <w:rFonts w:asciiTheme="minorHAnsi" w:hAnsiTheme="minorHAnsi" w:cstheme="minorBidi"/>
        </w:rPr>
        <w:t xml:space="preserve">. </w:t>
      </w:r>
    </w:p>
    <w:p w14:paraId="03D6ABB2" w14:textId="77777777" w:rsidR="001979E5" w:rsidRDefault="001979E5" w:rsidP="001979E5">
      <w:pPr>
        <w:spacing w:after="0" w:line="240" w:lineRule="auto"/>
        <w:ind w:left="720" w:right="57" w:firstLine="0"/>
        <w:rPr>
          <w:rFonts w:asciiTheme="minorHAnsi" w:hAnsiTheme="minorHAnsi" w:cstheme="minorBidi"/>
        </w:rPr>
      </w:pPr>
    </w:p>
    <w:p w14:paraId="39A502ED" w14:textId="39DD8F7E" w:rsidR="00197F68" w:rsidRPr="00755359" w:rsidRDefault="00B07E67" w:rsidP="7E054CC7">
      <w:pPr>
        <w:ind w:left="720" w:right="58" w:firstLine="0"/>
        <w:rPr>
          <w:rFonts w:asciiTheme="minorHAnsi" w:hAnsiTheme="minorHAnsi" w:cstheme="minorBidi"/>
        </w:rPr>
      </w:pPr>
      <w:r w:rsidRPr="7E054CC7">
        <w:rPr>
          <w:rFonts w:asciiTheme="minorHAnsi" w:hAnsiTheme="minorHAnsi" w:cstheme="minorBidi"/>
        </w:rPr>
        <w:t xml:space="preserve">Information about criminal convictions and offences is not included in the definition of special category personal </w:t>
      </w:r>
      <w:r w:rsidR="00FE6E55" w:rsidRPr="7E054CC7">
        <w:rPr>
          <w:rFonts w:asciiTheme="minorHAnsi" w:hAnsiTheme="minorHAnsi" w:cstheme="minorBidi"/>
        </w:rPr>
        <w:t>data but</w:t>
      </w:r>
      <w:r w:rsidRPr="7E054CC7">
        <w:rPr>
          <w:rFonts w:asciiTheme="minorHAnsi" w:hAnsiTheme="minorHAnsi" w:cstheme="minorBidi"/>
        </w:rPr>
        <w:t xml:space="preserve"> may be processed only under the control of official authority or when authorised by domestic law, which provides for appropriate safeguards. The Data Protection </w:t>
      </w:r>
      <w:r w:rsidR="005818FF" w:rsidRPr="7E054CC7">
        <w:rPr>
          <w:rFonts w:asciiTheme="minorHAnsi" w:hAnsiTheme="minorHAnsi" w:cstheme="minorBidi"/>
        </w:rPr>
        <w:t>Act 2018</w:t>
      </w:r>
      <w:r w:rsidRPr="7E054CC7">
        <w:rPr>
          <w:rFonts w:asciiTheme="minorHAnsi" w:hAnsiTheme="minorHAnsi" w:cstheme="minorBidi"/>
        </w:rPr>
        <w:t xml:space="preserve"> lays down specific conditions for the processing of criminal offence data</w:t>
      </w:r>
      <w:r w:rsidR="0075754F" w:rsidRPr="7E054CC7">
        <w:rPr>
          <w:rFonts w:asciiTheme="minorHAnsi" w:hAnsiTheme="minorHAnsi" w:cstheme="minorBidi"/>
        </w:rPr>
        <w:t xml:space="preserve"> within UK Law</w:t>
      </w:r>
      <w:r w:rsidRPr="7E054CC7">
        <w:rPr>
          <w:rFonts w:asciiTheme="minorHAnsi" w:hAnsiTheme="minorHAnsi" w:cstheme="minorBidi"/>
        </w:rPr>
        <w:t xml:space="preserve">. </w:t>
      </w:r>
    </w:p>
    <w:p w14:paraId="0A6E0C2D" w14:textId="03B71B42" w:rsidR="00197F68" w:rsidRPr="00755359" w:rsidRDefault="00B07E67" w:rsidP="7E054CC7">
      <w:pPr>
        <w:spacing w:after="262"/>
        <w:ind w:left="720" w:right="58" w:firstLine="0"/>
        <w:rPr>
          <w:rFonts w:asciiTheme="minorHAnsi" w:hAnsiTheme="minorHAnsi" w:cstheme="minorBidi"/>
        </w:rPr>
      </w:pPr>
      <w:r w:rsidRPr="7E054CC7">
        <w:rPr>
          <w:rFonts w:asciiTheme="minorHAnsi" w:hAnsiTheme="minorHAnsi" w:cstheme="minorBidi"/>
        </w:rPr>
        <w:t xml:space="preserve">Due consideration should be given to information which may indirectly disclose special category personal data about an individual. For example, photographs and names may give an indication of a person’s race or religious </w:t>
      </w:r>
      <w:r w:rsidR="00FE6E55" w:rsidRPr="7E054CC7">
        <w:rPr>
          <w:rFonts w:asciiTheme="minorHAnsi" w:hAnsiTheme="minorHAnsi" w:cstheme="minorBidi"/>
        </w:rPr>
        <w:t>beliefs but</w:t>
      </w:r>
      <w:r w:rsidRPr="7E054CC7">
        <w:rPr>
          <w:rFonts w:asciiTheme="minorHAnsi" w:hAnsiTheme="minorHAnsi" w:cstheme="minorBidi"/>
        </w:rPr>
        <w:t xml:space="preserve"> will not always be special category data merely because an assumption about a person’s race or religious belief might be drawn from appearance or name. The issue will arise if that information is processed on the basis of those assumptions (for example, grouping people based on skin colour or likely ethnic origin of surname). The additional legal requirements in relation to special category personal data are described below (see </w:t>
      </w:r>
      <w:hyperlink w:anchor="_F.__What" w:history="1">
        <w:r w:rsidR="007C7DB1" w:rsidRPr="007C7DB1">
          <w:rPr>
            <w:rStyle w:val="Hyperlink"/>
            <w:rFonts w:asciiTheme="minorHAnsi" w:hAnsiTheme="minorHAnsi" w:cstheme="minorBidi"/>
            <w:b/>
            <w:bCs/>
          </w:rPr>
          <w:t>Section F</w:t>
        </w:r>
      </w:hyperlink>
      <w:r w:rsidRPr="7E054CC7">
        <w:rPr>
          <w:rFonts w:asciiTheme="minorHAnsi" w:hAnsiTheme="minorHAnsi" w:cstheme="minorBidi"/>
        </w:rPr>
        <w:t xml:space="preserve">). </w:t>
      </w:r>
    </w:p>
    <w:p w14:paraId="3AD5D82A" w14:textId="660E4705" w:rsidR="00197F68" w:rsidRPr="000E7177" w:rsidRDefault="00B07E67" w:rsidP="00323916">
      <w:pPr>
        <w:pStyle w:val="Heading1"/>
      </w:pPr>
      <w:bookmarkStart w:id="5" w:name="Bookmark6"/>
      <w:r w:rsidRPr="000E7177">
        <w:t xml:space="preserve">E. </w:t>
      </w:r>
      <w:r w:rsidR="008C45ED" w:rsidRPr="000E7177">
        <w:tab/>
      </w:r>
      <w:r w:rsidRPr="000E7177">
        <w:t xml:space="preserve">Who is responsible for complying with the GDPR? </w:t>
      </w:r>
      <w:bookmarkEnd w:id="5"/>
    </w:p>
    <w:p w14:paraId="38D2977A" w14:textId="77777777" w:rsidR="00197F68" w:rsidRPr="00755359" w:rsidRDefault="00B07E67" w:rsidP="008D6B16">
      <w:pPr>
        <w:ind w:left="720" w:right="58" w:firstLine="0"/>
        <w:rPr>
          <w:rFonts w:asciiTheme="minorHAnsi" w:hAnsiTheme="minorHAnsi" w:cstheme="minorBidi"/>
        </w:rPr>
      </w:pPr>
      <w:r w:rsidRPr="7E054CC7">
        <w:rPr>
          <w:rFonts w:asciiTheme="minorHAnsi" w:hAnsiTheme="minorHAnsi" w:cstheme="minorBidi"/>
        </w:rPr>
        <w:t>The GDPR imposes obligations on both “</w:t>
      </w:r>
      <w:r w:rsidRPr="7E054CC7">
        <w:rPr>
          <w:rFonts w:asciiTheme="minorHAnsi" w:hAnsiTheme="minorHAnsi" w:cstheme="minorBidi"/>
          <w:b/>
        </w:rPr>
        <w:t>data controllers</w:t>
      </w:r>
      <w:r w:rsidRPr="7E054CC7">
        <w:rPr>
          <w:rFonts w:asciiTheme="minorHAnsi" w:hAnsiTheme="minorHAnsi" w:cstheme="minorBidi"/>
        </w:rPr>
        <w:t>” and “</w:t>
      </w:r>
      <w:r w:rsidRPr="7E054CC7">
        <w:rPr>
          <w:rFonts w:asciiTheme="minorHAnsi" w:hAnsiTheme="minorHAnsi" w:cstheme="minorBidi"/>
          <w:b/>
        </w:rPr>
        <w:t>data processors</w:t>
      </w:r>
      <w:r w:rsidRPr="7E054CC7">
        <w:rPr>
          <w:rFonts w:asciiTheme="minorHAnsi" w:hAnsiTheme="minorHAnsi" w:cstheme="minorBidi"/>
        </w:rPr>
        <w:t xml:space="preserve">”.  </w:t>
      </w:r>
    </w:p>
    <w:p w14:paraId="020A0375" w14:textId="510F526E" w:rsidR="00197F68" w:rsidRPr="00755359" w:rsidRDefault="00B07E67" w:rsidP="008D6B16">
      <w:pPr>
        <w:ind w:left="720" w:right="58" w:firstLine="0"/>
        <w:rPr>
          <w:rFonts w:asciiTheme="minorHAnsi" w:hAnsiTheme="minorHAnsi" w:cstheme="minorBidi"/>
        </w:rPr>
      </w:pPr>
      <w:r w:rsidRPr="7E054CC7">
        <w:rPr>
          <w:rFonts w:asciiTheme="minorHAnsi" w:hAnsiTheme="minorHAnsi" w:cstheme="minorBidi"/>
        </w:rPr>
        <w:t xml:space="preserve">A data controller is the person who (either alone or jointly with other persons) determines the purposes for which and the manner in which any personal data are, or are to be, processed. </w:t>
      </w:r>
      <w:r w:rsidR="008D6B16">
        <w:t xml:space="preserve"> </w:t>
      </w:r>
      <w:r w:rsidRPr="7E054CC7">
        <w:rPr>
          <w:rFonts w:asciiTheme="minorHAnsi" w:hAnsiTheme="minorHAnsi" w:cstheme="minorBidi"/>
        </w:rPr>
        <w:t xml:space="preserve">Essentially, do you have control over how you may use the information? </w:t>
      </w:r>
    </w:p>
    <w:p w14:paraId="553354B4" w14:textId="7530488B" w:rsidR="00197F68" w:rsidRPr="00755359" w:rsidRDefault="00B07E67" w:rsidP="008D6B16">
      <w:pPr>
        <w:ind w:left="720" w:right="58" w:firstLine="0"/>
        <w:rPr>
          <w:rFonts w:asciiTheme="minorHAnsi" w:hAnsiTheme="minorHAnsi" w:cstheme="minorBidi"/>
        </w:rPr>
      </w:pPr>
      <w:r w:rsidRPr="7E054CC7">
        <w:rPr>
          <w:rFonts w:asciiTheme="minorHAnsi" w:hAnsiTheme="minorHAnsi" w:cstheme="minorBidi"/>
        </w:rPr>
        <w:t xml:space="preserve">The data processor is the party who does the processing of personal data on behalf of the data controller. Are you acting pursuant to someone else’s instructions? </w:t>
      </w:r>
    </w:p>
    <w:p w14:paraId="2D4555E2" w14:textId="62D647D1" w:rsidR="00197F68" w:rsidRPr="00755359" w:rsidRDefault="00B07E67" w:rsidP="00B85206">
      <w:pPr>
        <w:spacing w:after="173"/>
        <w:ind w:left="720" w:right="58" w:firstLine="0"/>
        <w:rPr>
          <w:rFonts w:asciiTheme="minorHAnsi" w:hAnsiTheme="minorHAnsi" w:cstheme="minorBidi"/>
        </w:rPr>
      </w:pPr>
      <w:r w:rsidRPr="3C548027">
        <w:rPr>
          <w:rFonts w:asciiTheme="minorHAnsi" w:hAnsiTheme="minorHAnsi" w:cstheme="minorBidi"/>
        </w:rPr>
        <w:t xml:space="preserve">For research projects based at the </w:t>
      </w:r>
      <w:r w:rsidR="666E582E" w:rsidRPr="3C548027">
        <w:rPr>
          <w:rFonts w:asciiTheme="minorHAnsi" w:hAnsiTheme="minorHAnsi" w:cstheme="minorBidi"/>
        </w:rPr>
        <w:t>university</w:t>
      </w:r>
      <w:r w:rsidRPr="3C548027">
        <w:rPr>
          <w:rFonts w:asciiTheme="minorHAnsi" w:hAnsiTheme="minorHAnsi" w:cstheme="minorBidi"/>
        </w:rPr>
        <w:t xml:space="preserve">, the </w:t>
      </w:r>
      <w:r w:rsidR="666E582E" w:rsidRPr="3C548027">
        <w:rPr>
          <w:rFonts w:asciiTheme="minorHAnsi" w:hAnsiTheme="minorHAnsi" w:cstheme="minorBidi"/>
        </w:rPr>
        <w:t>university</w:t>
      </w:r>
      <w:r w:rsidRPr="3C548027">
        <w:rPr>
          <w:rFonts w:asciiTheme="minorHAnsi" w:hAnsiTheme="minorHAnsi" w:cstheme="minorBidi"/>
        </w:rPr>
        <w:t xml:space="preserve"> will most likely be the data controller. It does not matter if the research project is taking place in a country outside the UK or EEA</w:t>
      </w:r>
      <w:r w:rsidRPr="3C548027">
        <w:rPr>
          <w:rFonts w:asciiTheme="minorHAnsi" w:hAnsiTheme="minorHAnsi" w:cstheme="minorBidi"/>
          <w:vertAlign w:val="superscript"/>
        </w:rPr>
        <w:footnoteReference w:id="3"/>
      </w:r>
      <w:r w:rsidRPr="3C548027">
        <w:rPr>
          <w:rFonts w:asciiTheme="minorHAnsi" w:hAnsiTheme="minorHAnsi" w:cstheme="minorBidi"/>
        </w:rPr>
        <w:t xml:space="preserve">, the GDPR </w:t>
      </w:r>
      <w:r w:rsidRPr="3C548027">
        <w:rPr>
          <w:rFonts w:asciiTheme="minorHAnsi" w:hAnsiTheme="minorHAnsi" w:cstheme="minorBidi"/>
        </w:rPr>
        <w:lastRenderedPageBreak/>
        <w:t xml:space="preserve">will apply irrespective of where the data processing is taking place if the </w:t>
      </w:r>
      <w:r w:rsidR="666E582E" w:rsidRPr="3C548027">
        <w:rPr>
          <w:rFonts w:asciiTheme="minorHAnsi" w:hAnsiTheme="minorHAnsi" w:cstheme="minorBidi"/>
        </w:rPr>
        <w:t>university</w:t>
      </w:r>
      <w:r w:rsidRPr="3C548027">
        <w:rPr>
          <w:rFonts w:asciiTheme="minorHAnsi" w:hAnsiTheme="minorHAnsi" w:cstheme="minorBidi"/>
        </w:rPr>
        <w:t xml:space="preserve"> is processing personal data or is the data controller.</w:t>
      </w:r>
    </w:p>
    <w:p w14:paraId="5FFC8700" w14:textId="1FED4386" w:rsidR="00B06038" w:rsidRPr="0004249F" w:rsidRDefault="00B06038" w:rsidP="00B85206">
      <w:pPr>
        <w:ind w:left="720" w:right="58" w:firstLine="0"/>
        <w:rPr>
          <w:rFonts w:asciiTheme="minorHAnsi" w:hAnsiTheme="minorHAnsi" w:cstheme="minorBidi"/>
          <w:b/>
          <w:color w:val="auto"/>
        </w:rPr>
      </w:pPr>
      <w:r w:rsidRPr="33AD9453">
        <w:rPr>
          <w:rFonts w:asciiTheme="minorHAnsi" w:hAnsiTheme="minorHAnsi" w:cstheme="minorBidi"/>
          <w:color w:val="auto"/>
        </w:rPr>
        <w:t xml:space="preserve">You are </w:t>
      </w:r>
      <w:r w:rsidR="009A4045" w:rsidRPr="33AD9453">
        <w:rPr>
          <w:rFonts w:asciiTheme="minorHAnsi" w:hAnsiTheme="minorHAnsi" w:cstheme="minorBidi"/>
          <w:color w:val="auto"/>
        </w:rPr>
        <w:t xml:space="preserve">required by your employment contract with the </w:t>
      </w:r>
      <w:r w:rsidR="666E582E" w:rsidRPr="33AD9453">
        <w:rPr>
          <w:rFonts w:asciiTheme="minorHAnsi" w:hAnsiTheme="minorHAnsi" w:cstheme="minorBidi"/>
          <w:color w:val="auto"/>
        </w:rPr>
        <w:t>university</w:t>
      </w:r>
      <w:r w:rsidR="009A4045" w:rsidRPr="33AD9453">
        <w:rPr>
          <w:rFonts w:asciiTheme="minorHAnsi" w:hAnsiTheme="minorHAnsi" w:cstheme="minorBidi"/>
          <w:color w:val="auto"/>
        </w:rPr>
        <w:t xml:space="preserve"> to comply with data protection </w:t>
      </w:r>
      <w:r w:rsidR="007A38A9" w:rsidRPr="33AD9453">
        <w:rPr>
          <w:rFonts w:asciiTheme="minorHAnsi" w:hAnsiTheme="minorHAnsi" w:cstheme="minorBidi"/>
          <w:color w:val="auto"/>
        </w:rPr>
        <w:t>legislation</w:t>
      </w:r>
      <w:r w:rsidR="007A38A9" w:rsidRPr="33AD9453">
        <w:rPr>
          <w:rFonts w:asciiTheme="minorHAnsi" w:hAnsiTheme="minorHAnsi" w:cstheme="minorBidi"/>
          <w:b/>
          <w:color w:val="auto"/>
        </w:rPr>
        <w:t xml:space="preserve">. Where the </w:t>
      </w:r>
      <w:r w:rsidR="666E582E" w:rsidRPr="33AD9453">
        <w:rPr>
          <w:rFonts w:asciiTheme="minorHAnsi" w:hAnsiTheme="minorHAnsi" w:cstheme="minorBidi"/>
          <w:b/>
          <w:bCs/>
          <w:color w:val="auto"/>
        </w:rPr>
        <w:t>university</w:t>
      </w:r>
      <w:r w:rsidR="007A38A9" w:rsidRPr="33AD9453">
        <w:rPr>
          <w:rFonts w:asciiTheme="minorHAnsi" w:hAnsiTheme="minorHAnsi" w:cstheme="minorBidi"/>
          <w:b/>
          <w:color w:val="auto"/>
        </w:rPr>
        <w:t xml:space="preserve"> is the data controller </w:t>
      </w:r>
      <w:r w:rsidR="00CE196E" w:rsidRPr="33AD9453">
        <w:rPr>
          <w:rFonts w:asciiTheme="minorHAnsi" w:hAnsiTheme="minorHAnsi" w:cstheme="minorBidi"/>
          <w:b/>
          <w:color w:val="auto"/>
        </w:rPr>
        <w:t xml:space="preserve">and you intend to supply any personal data to a third party to perform any subcontracted work, such </w:t>
      </w:r>
      <w:r w:rsidR="00FE6E55" w:rsidRPr="33AD9453">
        <w:rPr>
          <w:rFonts w:asciiTheme="minorHAnsi" w:hAnsiTheme="minorHAnsi" w:cstheme="minorBidi"/>
          <w:b/>
          <w:color w:val="auto"/>
        </w:rPr>
        <w:t>transfer must be made under an appropriate contract</w:t>
      </w:r>
      <w:r w:rsidR="0004249F" w:rsidRPr="33AD9453">
        <w:rPr>
          <w:rFonts w:asciiTheme="minorHAnsi" w:hAnsiTheme="minorHAnsi" w:cstheme="minorBidi"/>
          <w:b/>
          <w:color w:val="auto"/>
        </w:rPr>
        <w:t>/Service level agreement liaise with legal service for further advice</w:t>
      </w:r>
      <w:r w:rsidR="00FE6E55" w:rsidRPr="33AD9453">
        <w:rPr>
          <w:rFonts w:asciiTheme="minorHAnsi" w:hAnsiTheme="minorHAnsi" w:cstheme="minorBidi"/>
          <w:b/>
          <w:color w:val="auto"/>
        </w:rPr>
        <w:t>.</w:t>
      </w:r>
    </w:p>
    <w:p w14:paraId="6AD00D92" w14:textId="09E03BF6" w:rsidR="00940532" w:rsidRPr="007414CE" w:rsidRDefault="00E12B9E" w:rsidP="0098259C">
      <w:pPr>
        <w:ind w:left="720" w:right="58" w:firstLine="0"/>
        <w:jc w:val="left"/>
        <w:rPr>
          <w:rFonts w:asciiTheme="minorHAnsi" w:hAnsiTheme="minorHAnsi" w:cstheme="minorBidi"/>
          <w:color w:val="auto"/>
        </w:rPr>
      </w:pPr>
      <w:r w:rsidRPr="7E054CC7">
        <w:rPr>
          <w:rFonts w:asciiTheme="minorHAnsi" w:hAnsiTheme="minorHAnsi" w:cstheme="minorBidi"/>
          <w:color w:val="auto"/>
        </w:rPr>
        <w:t>All researcher</w:t>
      </w:r>
      <w:r w:rsidR="00C01876" w:rsidRPr="7E054CC7">
        <w:rPr>
          <w:rFonts w:asciiTheme="minorHAnsi" w:hAnsiTheme="minorHAnsi" w:cstheme="minorBidi"/>
          <w:color w:val="auto"/>
        </w:rPr>
        <w:t>s</w:t>
      </w:r>
      <w:r w:rsidRPr="7E054CC7">
        <w:rPr>
          <w:rFonts w:asciiTheme="minorHAnsi" w:hAnsiTheme="minorHAnsi" w:cstheme="minorBidi"/>
          <w:color w:val="auto"/>
        </w:rPr>
        <w:t xml:space="preserve"> are required to </w:t>
      </w:r>
      <w:r w:rsidR="7DFDD64D" w:rsidRPr="7E054CC7">
        <w:rPr>
          <w:rFonts w:asciiTheme="minorHAnsi" w:hAnsiTheme="minorHAnsi" w:cstheme="minorBidi"/>
          <w:color w:val="auto"/>
        </w:rPr>
        <w:t>consider</w:t>
      </w:r>
      <w:r w:rsidR="00C01876" w:rsidRPr="7E054CC7">
        <w:rPr>
          <w:rFonts w:asciiTheme="minorHAnsi" w:hAnsiTheme="minorHAnsi" w:cstheme="minorBidi"/>
          <w:color w:val="auto"/>
        </w:rPr>
        <w:t xml:space="preserve"> government guidance on</w:t>
      </w:r>
      <w:r w:rsidR="009F0308" w:rsidRPr="7E054CC7">
        <w:rPr>
          <w:rFonts w:asciiTheme="minorHAnsi" w:hAnsiTheme="minorHAnsi" w:cstheme="minorBidi"/>
          <w:color w:val="auto"/>
        </w:rPr>
        <w:t xml:space="preserve"> </w:t>
      </w:r>
      <w:hyperlink r:id="rId11">
        <w:r w:rsidR="009F0308" w:rsidRPr="7E054CC7">
          <w:rPr>
            <w:rStyle w:val="Hyperlink"/>
            <w:rFonts w:asciiTheme="minorHAnsi" w:hAnsiTheme="minorHAnsi" w:cstheme="minorBidi"/>
          </w:rPr>
          <w:t xml:space="preserve">Managing user research data </w:t>
        </w:r>
      </w:hyperlink>
      <w:r w:rsidR="009F0308" w:rsidRPr="7E054CC7">
        <w:rPr>
          <w:rStyle w:val="Hyperlink"/>
          <w:rFonts w:asciiTheme="minorHAnsi" w:hAnsiTheme="minorHAnsi" w:cstheme="minorBidi"/>
        </w:rPr>
        <w:t>participant privacy</w:t>
      </w:r>
      <w:r w:rsidR="00C01876" w:rsidRPr="7E054CC7">
        <w:rPr>
          <w:rFonts w:asciiTheme="minorHAnsi" w:hAnsiTheme="minorHAnsi" w:cstheme="minorBidi"/>
        </w:rPr>
        <w:t>.</w:t>
      </w:r>
    </w:p>
    <w:p w14:paraId="2D2EEC4B" w14:textId="26CCEB72" w:rsidR="001C35DB" w:rsidRPr="001C35DB" w:rsidRDefault="00B85206" w:rsidP="00B85206">
      <w:pPr>
        <w:ind w:left="720" w:right="58" w:hanging="711"/>
        <w:rPr>
          <w:rFonts w:asciiTheme="minorHAnsi" w:hAnsiTheme="minorHAnsi" w:cstheme="minorBidi"/>
          <w:color w:val="auto"/>
        </w:rPr>
      </w:pPr>
      <w:r>
        <w:rPr>
          <w:rFonts w:asciiTheme="minorHAnsi" w:hAnsiTheme="minorHAnsi" w:cstheme="minorBidi"/>
          <w:color w:val="auto"/>
        </w:rPr>
        <w:tab/>
      </w:r>
      <w:r w:rsidR="00491F31" w:rsidRPr="33AD9453">
        <w:rPr>
          <w:rFonts w:asciiTheme="minorHAnsi" w:hAnsiTheme="minorHAnsi" w:cstheme="minorBidi"/>
          <w:color w:val="auto"/>
        </w:rPr>
        <w:t xml:space="preserve">The </w:t>
      </w:r>
      <w:r w:rsidR="00491F31" w:rsidRPr="33AD9453">
        <w:rPr>
          <w:rFonts w:asciiTheme="minorHAnsi" w:hAnsiTheme="minorHAnsi" w:cstheme="minorBidi"/>
        </w:rPr>
        <w:t>Policy</w:t>
      </w:r>
      <w:r w:rsidR="00F96575" w:rsidRPr="33AD9453">
        <w:rPr>
          <w:rFonts w:asciiTheme="minorHAnsi" w:hAnsiTheme="minorHAnsi" w:cstheme="minorBidi"/>
        </w:rPr>
        <w:t xml:space="preserve"> </w:t>
      </w:r>
      <w:r>
        <w:rPr>
          <w:rFonts w:asciiTheme="minorHAnsi" w:hAnsiTheme="minorHAnsi" w:cstheme="minorBidi"/>
        </w:rPr>
        <w:t xml:space="preserve">and </w:t>
      </w:r>
      <w:r w:rsidR="00F96575" w:rsidRPr="33AD9453">
        <w:rPr>
          <w:rFonts w:asciiTheme="minorHAnsi" w:hAnsiTheme="minorHAnsi" w:cstheme="minorBidi"/>
        </w:rPr>
        <w:t xml:space="preserve">Procedures for </w:t>
      </w:r>
      <w:hyperlink r:id="rId12">
        <w:r w:rsidR="00F96575" w:rsidRPr="33AD9453">
          <w:rPr>
            <w:rStyle w:val="Hyperlink"/>
            <w:rFonts w:asciiTheme="minorHAnsi" w:hAnsiTheme="minorHAnsi" w:cstheme="minorBidi"/>
          </w:rPr>
          <w:t>Investigating Allegations of Misconduct in Research</w:t>
        </w:r>
      </w:hyperlink>
      <w:r w:rsidR="001C35DB" w:rsidRPr="33AD9453">
        <w:rPr>
          <w:rFonts w:asciiTheme="minorHAnsi" w:hAnsiTheme="minorHAnsi" w:cstheme="minorBidi"/>
          <w:color w:val="4471C4"/>
        </w:rPr>
        <w:t xml:space="preserve"> </w:t>
      </w:r>
      <w:r w:rsidR="001C35DB" w:rsidRPr="33AD9453">
        <w:rPr>
          <w:rFonts w:asciiTheme="minorHAnsi" w:hAnsiTheme="minorHAnsi" w:cstheme="minorBidi"/>
          <w:color w:val="auto"/>
        </w:rPr>
        <w:t>applies to any person</w:t>
      </w:r>
      <w:r>
        <w:rPr>
          <w:rFonts w:asciiTheme="minorHAnsi" w:hAnsiTheme="minorHAnsi" w:cstheme="minorBidi"/>
          <w:color w:val="auto"/>
        </w:rPr>
        <w:t xml:space="preserve"> </w:t>
      </w:r>
      <w:r w:rsidR="001C35DB" w:rsidRPr="33AD9453">
        <w:rPr>
          <w:rFonts w:asciiTheme="minorHAnsi" w:hAnsiTheme="minorHAnsi" w:cstheme="minorBidi"/>
          <w:color w:val="auto"/>
        </w:rPr>
        <w:t xml:space="preserve">conducting research under the auspices of the </w:t>
      </w:r>
      <w:r w:rsidR="666E582E" w:rsidRPr="33AD9453">
        <w:rPr>
          <w:rFonts w:asciiTheme="minorHAnsi" w:hAnsiTheme="minorHAnsi" w:cstheme="minorBidi"/>
          <w:color w:val="auto"/>
        </w:rPr>
        <w:t>university</w:t>
      </w:r>
      <w:r w:rsidR="001C35DB" w:rsidRPr="33AD9453">
        <w:rPr>
          <w:rFonts w:asciiTheme="minorHAnsi" w:hAnsiTheme="minorHAnsi" w:cstheme="minorBidi"/>
          <w:color w:val="auto"/>
        </w:rPr>
        <w:t xml:space="preserve">, whether solely or in conjunction with others in the University or with other organisations, including, but not limited to:  </w:t>
      </w:r>
    </w:p>
    <w:p w14:paraId="38574186" w14:textId="77777777" w:rsidR="00F17EC8" w:rsidRDefault="001C35DB" w:rsidP="007A6C1B">
      <w:pPr>
        <w:pStyle w:val="ListParagraph"/>
        <w:numPr>
          <w:ilvl w:val="0"/>
          <w:numId w:val="8"/>
        </w:numPr>
        <w:ind w:left="1124" w:right="58" w:hanging="44"/>
        <w:rPr>
          <w:rFonts w:asciiTheme="minorHAnsi" w:hAnsiTheme="minorHAnsi" w:cstheme="minorBidi"/>
          <w:color w:val="auto"/>
        </w:rPr>
      </w:pPr>
      <w:r w:rsidRPr="7E054CC7">
        <w:rPr>
          <w:rFonts w:asciiTheme="minorHAnsi" w:hAnsiTheme="minorHAnsi" w:cstheme="minorBidi"/>
          <w:color w:val="auto"/>
        </w:rPr>
        <w:t xml:space="preserve">a member of staff; </w:t>
      </w:r>
    </w:p>
    <w:p w14:paraId="72A2AE51" w14:textId="77777777" w:rsidR="00F17EC8" w:rsidRDefault="001C35DB" w:rsidP="007A6C1B">
      <w:pPr>
        <w:pStyle w:val="ListParagraph"/>
        <w:numPr>
          <w:ilvl w:val="0"/>
          <w:numId w:val="8"/>
        </w:numPr>
        <w:ind w:left="1124" w:right="58" w:hanging="44"/>
        <w:rPr>
          <w:rFonts w:asciiTheme="minorHAnsi" w:hAnsiTheme="minorHAnsi" w:cstheme="minorBidi"/>
          <w:color w:val="auto"/>
        </w:rPr>
      </w:pPr>
      <w:r w:rsidRPr="7E054CC7">
        <w:rPr>
          <w:rFonts w:asciiTheme="minorHAnsi" w:hAnsiTheme="minorHAnsi" w:cstheme="minorBidi"/>
          <w:color w:val="auto"/>
        </w:rPr>
        <w:t xml:space="preserve">a student; </w:t>
      </w:r>
    </w:p>
    <w:p w14:paraId="2D6D3753" w14:textId="77777777" w:rsidR="00F17EC8" w:rsidRDefault="001C35DB" w:rsidP="007A6C1B">
      <w:pPr>
        <w:pStyle w:val="ListParagraph"/>
        <w:numPr>
          <w:ilvl w:val="0"/>
          <w:numId w:val="8"/>
        </w:numPr>
        <w:ind w:left="1124" w:right="58" w:hanging="44"/>
        <w:rPr>
          <w:rFonts w:asciiTheme="minorHAnsi" w:hAnsiTheme="minorHAnsi" w:cstheme="minorBidi"/>
          <w:color w:val="auto"/>
        </w:rPr>
      </w:pPr>
      <w:r w:rsidRPr="7E054CC7">
        <w:rPr>
          <w:rFonts w:asciiTheme="minorHAnsi" w:hAnsiTheme="minorHAnsi" w:cstheme="minorBidi"/>
          <w:color w:val="auto"/>
        </w:rPr>
        <w:t xml:space="preserve">an independent contractor or consultant; </w:t>
      </w:r>
    </w:p>
    <w:p w14:paraId="349C0F37" w14:textId="7D083E0D" w:rsidR="001C35DB" w:rsidRPr="00EA14D0" w:rsidRDefault="001C35DB" w:rsidP="007A6C1B">
      <w:pPr>
        <w:pStyle w:val="ListParagraph"/>
        <w:numPr>
          <w:ilvl w:val="0"/>
          <w:numId w:val="8"/>
        </w:numPr>
        <w:ind w:left="1440" w:right="58"/>
        <w:rPr>
          <w:rFonts w:asciiTheme="minorHAnsi" w:hAnsiTheme="minorHAnsi" w:cstheme="minorBidi"/>
          <w:color w:val="auto"/>
        </w:rPr>
      </w:pPr>
      <w:r w:rsidRPr="7E054CC7">
        <w:rPr>
          <w:rFonts w:asciiTheme="minorHAnsi" w:hAnsiTheme="minorHAnsi" w:cstheme="minorBidi"/>
          <w:color w:val="auto"/>
        </w:rPr>
        <w:t xml:space="preserve">a person with visiting or emeritus status; (e) a member of staff on a clinical, honorary or secondment contract.  </w:t>
      </w:r>
    </w:p>
    <w:p w14:paraId="2EC6D630" w14:textId="1F090469" w:rsidR="00223FD3" w:rsidRDefault="5348C07A" w:rsidP="00AB0DB8">
      <w:pPr>
        <w:ind w:left="720" w:right="58" w:firstLine="0"/>
        <w:rPr>
          <w:rFonts w:asciiTheme="minorHAnsi" w:hAnsiTheme="minorHAnsi" w:cstheme="minorBidi"/>
          <w:color w:val="auto"/>
        </w:rPr>
      </w:pPr>
      <w:r w:rsidRPr="549917F3">
        <w:rPr>
          <w:rFonts w:asciiTheme="minorHAnsi" w:hAnsiTheme="minorHAnsi" w:cstheme="minorBidi"/>
          <w:color w:val="auto"/>
        </w:rPr>
        <w:t>Additional guidance</w:t>
      </w:r>
      <w:r w:rsidR="4E7A57F1" w:rsidRPr="549917F3">
        <w:rPr>
          <w:rFonts w:asciiTheme="minorHAnsi" w:hAnsiTheme="minorHAnsi" w:cstheme="minorBidi"/>
          <w:color w:val="auto"/>
        </w:rPr>
        <w:t xml:space="preserve"> on the management of</w:t>
      </w:r>
      <w:r w:rsidRPr="549917F3">
        <w:rPr>
          <w:rFonts w:asciiTheme="minorHAnsi" w:hAnsiTheme="minorHAnsi" w:cstheme="minorBidi"/>
          <w:color w:val="auto"/>
        </w:rPr>
        <w:t xml:space="preserve"> </w:t>
      </w:r>
      <w:r w:rsidR="0B2625E0" w:rsidRPr="549917F3">
        <w:rPr>
          <w:rFonts w:asciiTheme="minorHAnsi" w:hAnsiTheme="minorHAnsi" w:cstheme="minorBidi"/>
          <w:color w:val="auto"/>
        </w:rPr>
        <w:t xml:space="preserve">Research </w:t>
      </w:r>
      <w:r w:rsidR="4E7A57F1" w:rsidRPr="549917F3">
        <w:rPr>
          <w:rFonts w:asciiTheme="minorHAnsi" w:hAnsiTheme="minorHAnsi" w:cstheme="minorBidi"/>
          <w:color w:val="auto"/>
        </w:rPr>
        <w:t xml:space="preserve">data </w:t>
      </w:r>
      <w:r w:rsidR="0B2625E0" w:rsidRPr="549917F3">
        <w:rPr>
          <w:rFonts w:asciiTheme="minorHAnsi" w:hAnsiTheme="minorHAnsi" w:cstheme="minorBidi"/>
          <w:color w:val="auto"/>
        </w:rPr>
        <w:t xml:space="preserve">is available </w:t>
      </w:r>
      <w:r w:rsidR="00393970" w:rsidRPr="549917F3">
        <w:rPr>
          <w:rFonts w:asciiTheme="minorHAnsi" w:hAnsiTheme="minorHAnsi" w:cstheme="minorBidi"/>
          <w:color w:val="auto"/>
        </w:rPr>
        <w:t>in</w:t>
      </w:r>
      <w:r w:rsidR="0B2625E0" w:rsidRPr="549917F3">
        <w:rPr>
          <w:rFonts w:asciiTheme="minorHAnsi" w:hAnsiTheme="minorHAnsi" w:cstheme="minorBidi"/>
          <w:color w:val="auto"/>
        </w:rPr>
        <w:t xml:space="preserve"> the </w:t>
      </w:r>
      <w:r w:rsidR="666E582E" w:rsidRPr="33AD9453">
        <w:rPr>
          <w:rFonts w:asciiTheme="minorHAnsi" w:hAnsiTheme="minorHAnsi" w:cstheme="minorBidi"/>
          <w:color w:val="auto"/>
        </w:rPr>
        <w:t>university</w:t>
      </w:r>
      <w:r w:rsidR="483CF374" w:rsidRPr="33AD9453">
        <w:rPr>
          <w:rFonts w:asciiTheme="minorHAnsi" w:hAnsiTheme="minorHAnsi" w:cstheme="minorBidi"/>
          <w:color w:val="auto"/>
        </w:rPr>
        <w:t>’s</w:t>
      </w:r>
      <w:r w:rsidR="0098259C">
        <w:rPr>
          <w:rFonts w:asciiTheme="minorHAnsi" w:hAnsiTheme="minorHAnsi" w:cstheme="minorBidi"/>
          <w:color w:val="auto"/>
        </w:rPr>
        <w:t xml:space="preserve"> </w:t>
      </w:r>
      <w:hyperlink r:id="rId13">
        <w:r w:rsidR="483CF374" w:rsidRPr="549917F3">
          <w:rPr>
            <w:rStyle w:val="Hyperlink"/>
            <w:rFonts w:asciiTheme="minorHAnsi" w:hAnsiTheme="minorHAnsi" w:cstheme="minorBidi"/>
          </w:rPr>
          <w:t>Open Research</w:t>
        </w:r>
        <w:r w:rsidR="112BC8BC" w:rsidRPr="549917F3">
          <w:rPr>
            <w:rStyle w:val="Hyperlink"/>
            <w:rFonts w:asciiTheme="minorHAnsi" w:hAnsiTheme="minorHAnsi" w:cstheme="minorBidi"/>
          </w:rPr>
          <w:t xml:space="preserve"> Policy</w:t>
        </w:r>
      </w:hyperlink>
      <w:r w:rsidR="21CD61F4" w:rsidRPr="549917F3">
        <w:rPr>
          <w:rFonts w:asciiTheme="minorHAnsi" w:hAnsiTheme="minorHAnsi" w:cstheme="minorBidi"/>
          <w:color w:val="auto"/>
        </w:rPr>
        <w:t xml:space="preserve">, </w:t>
      </w:r>
      <w:hyperlink r:id="rId14">
        <w:r w:rsidR="30B635C9" w:rsidRPr="549917F3">
          <w:rPr>
            <w:rStyle w:val="Hyperlink"/>
            <w:rFonts w:asciiTheme="minorHAnsi" w:hAnsiTheme="minorHAnsi" w:cstheme="minorBidi"/>
          </w:rPr>
          <w:t>Data Management Plan</w:t>
        </w:r>
      </w:hyperlink>
      <w:r w:rsidR="30B635C9" w:rsidRPr="549917F3">
        <w:rPr>
          <w:rFonts w:asciiTheme="minorHAnsi" w:hAnsiTheme="minorHAnsi" w:cstheme="minorBidi"/>
          <w:color w:val="auto"/>
        </w:rPr>
        <w:t xml:space="preserve">, </w:t>
      </w:r>
      <w:r w:rsidR="112BC8BC" w:rsidRPr="33AD9453">
        <w:rPr>
          <w:rFonts w:asciiTheme="minorHAnsi" w:hAnsiTheme="minorHAnsi" w:cstheme="minorBidi"/>
          <w:color w:val="auto"/>
        </w:rPr>
        <w:t>Research &amp; Ethics Policy</w:t>
      </w:r>
      <w:r w:rsidR="7BB44625" w:rsidRPr="549917F3">
        <w:rPr>
          <w:rFonts w:asciiTheme="minorHAnsi" w:hAnsiTheme="minorHAnsi" w:cstheme="minorBidi"/>
          <w:color w:val="auto"/>
        </w:rPr>
        <w:t xml:space="preserve"> and from</w:t>
      </w:r>
      <w:r w:rsidR="0FB7871B" w:rsidRPr="549917F3">
        <w:rPr>
          <w:rFonts w:asciiTheme="minorHAnsi" w:hAnsiTheme="minorHAnsi" w:cstheme="minorBidi"/>
          <w:color w:val="auto"/>
        </w:rPr>
        <w:t xml:space="preserve"> </w:t>
      </w:r>
      <w:hyperlink r:id="rId15">
        <w:r w:rsidR="7C1C04CF" w:rsidRPr="549917F3">
          <w:rPr>
            <w:rStyle w:val="Hyperlink"/>
            <w:rFonts w:asciiTheme="minorHAnsi" w:hAnsiTheme="minorHAnsi" w:cstheme="minorBidi"/>
          </w:rPr>
          <w:t>Library</w:t>
        </w:r>
        <w:r w:rsidR="0FB7871B" w:rsidRPr="549917F3">
          <w:rPr>
            <w:rStyle w:val="Hyperlink"/>
            <w:rFonts w:asciiTheme="minorHAnsi" w:hAnsiTheme="minorHAnsi" w:cstheme="minorBidi"/>
          </w:rPr>
          <w:t xml:space="preserve"> Research</w:t>
        </w:r>
        <w:r w:rsidR="7C1C04CF" w:rsidRPr="549917F3">
          <w:rPr>
            <w:rStyle w:val="Hyperlink"/>
            <w:rFonts w:asciiTheme="minorHAnsi" w:hAnsiTheme="minorHAnsi" w:cstheme="minorBidi"/>
          </w:rPr>
          <w:t xml:space="preserve"> Services</w:t>
        </w:r>
      </w:hyperlink>
      <w:r w:rsidR="7C1C04CF" w:rsidRPr="549917F3">
        <w:rPr>
          <w:rFonts w:asciiTheme="minorHAnsi" w:hAnsiTheme="minorHAnsi" w:cstheme="minorBidi"/>
          <w:color w:val="auto"/>
        </w:rPr>
        <w:t>.</w:t>
      </w:r>
    </w:p>
    <w:p w14:paraId="11309F77" w14:textId="1CA96B3E" w:rsidR="00197F68" w:rsidRPr="00755359" w:rsidRDefault="00B07E67" w:rsidP="1C4AD231">
      <w:pPr>
        <w:ind w:left="720" w:right="58" w:firstLine="0"/>
        <w:rPr>
          <w:rFonts w:asciiTheme="minorHAnsi" w:hAnsiTheme="minorHAnsi" w:cstheme="minorBidi"/>
        </w:rPr>
      </w:pPr>
      <w:r w:rsidRPr="28E361A2">
        <w:rPr>
          <w:rFonts w:asciiTheme="minorHAnsi" w:hAnsiTheme="minorHAnsi" w:cstheme="minorBidi"/>
        </w:rPr>
        <w:t xml:space="preserve">Where the </w:t>
      </w:r>
      <w:r w:rsidR="666E582E" w:rsidRPr="33AD9453">
        <w:rPr>
          <w:rFonts w:asciiTheme="minorHAnsi" w:hAnsiTheme="minorHAnsi" w:cstheme="minorBidi"/>
        </w:rPr>
        <w:t>university</w:t>
      </w:r>
      <w:r w:rsidRPr="28E361A2">
        <w:rPr>
          <w:rFonts w:asciiTheme="minorHAnsi" w:hAnsiTheme="minorHAnsi" w:cstheme="minorBidi"/>
        </w:rPr>
        <w:t xml:space="preserve"> and a third party are collaborating on a research project, both the </w:t>
      </w:r>
      <w:r w:rsidR="666E582E" w:rsidRPr="33AD9453">
        <w:rPr>
          <w:rFonts w:asciiTheme="minorHAnsi" w:hAnsiTheme="minorHAnsi" w:cstheme="minorBidi"/>
        </w:rPr>
        <w:t>university</w:t>
      </w:r>
      <w:r w:rsidRPr="28E361A2">
        <w:rPr>
          <w:rFonts w:asciiTheme="minorHAnsi" w:hAnsiTheme="minorHAnsi" w:cstheme="minorBidi"/>
        </w:rPr>
        <w:t xml:space="preserve"> and the third party are likely to be data controllers. In this situation, an agreement should be in place between the </w:t>
      </w:r>
      <w:r w:rsidR="666E582E" w:rsidRPr="33AD9453">
        <w:rPr>
          <w:rFonts w:asciiTheme="minorHAnsi" w:hAnsiTheme="minorHAnsi" w:cstheme="minorBidi"/>
        </w:rPr>
        <w:t>university</w:t>
      </w:r>
      <w:r w:rsidRPr="28E361A2">
        <w:rPr>
          <w:rFonts w:asciiTheme="minorHAnsi" w:hAnsiTheme="minorHAnsi" w:cstheme="minorBidi"/>
        </w:rPr>
        <w:t xml:space="preserve"> and the third party setting out their respective responsibilities for compliance with the GDPR. Data subjects should be able to exercise their rights under the GDPR against either of the controllers, and therefore they should be informed of the arrangements in place between the </w:t>
      </w:r>
      <w:r w:rsidR="666E582E" w:rsidRPr="33AD9453">
        <w:rPr>
          <w:rFonts w:asciiTheme="minorHAnsi" w:hAnsiTheme="minorHAnsi" w:cstheme="minorBidi"/>
        </w:rPr>
        <w:t>university</w:t>
      </w:r>
      <w:r w:rsidRPr="28E361A2">
        <w:rPr>
          <w:rFonts w:asciiTheme="minorHAnsi" w:hAnsiTheme="minorHAnsi" w:cstheme="minorBidi"/>
        </w:rPr>
        <w:t xml:space="preserve"> and the third party. If you are collaborating with a third party, you should approach </w:t>
      </w:r>
      <w:r w:rsidR="10F43799" w:rsidRPr="06E08850">
        <w:rPr>
          <w:rFonts w:asciiTheme="minorHAnsi" w:hAnsiTheme="minorHAnsi" w:cstheme="minorBidi"/>
        </w:rPr>
        <w:t xml:space="preserve">the </w:t>
      </w:r>
      <w:r w:rsidRPr="28E361A2">
        <w:rPr>
          <w:rFonts w:asciiTheme="minorHAnsi" w:hAnsiTheme="minorHAnsi" w:cstheme="minorBidi"/>
        </w:rPr>
        <w:t xml:space="preserve">Research </w:t>
      </w:r>
      <w:r w:rsidR="10F43799" w:rsidRPr="06E08850">
        <w:rPr>
          <w:rFonts w:asciiTheme="minorHAnsi" w:hAnsiTheme="minorHAnsi" w:cstheme="minorBidi"/>
        </w:rPr>
        <w:t>and Innovation Team (specifically Research Development Managers)</w:t>
      </w:r>
      <w:r w:rsidRPr="28E361A2">
        <w:rPr>
          <w:rFonts w:asciiTheme="minorHAnsi" w:hAnsiTheme="minorHAnsi" w:cstheme="minorBidi"/>
        </w:rPr>
        <w:t xml:space="preserve"> for guidance. </w:t>
      </w:r>
    </w:p>
    <w:p w14:paraId="23B3AD7A" w14:textId="170FF8A7" w:rsidR="00533061" w:rsidRDefault="00B07E67" w:rsidP="1C4AD231">
      <w:pPr>
        <w:spacing w:after="223"/>
        <w:ind w:left="720" w:right="58" w:firstLine="0"/>
        <w:rPr>
          <w:rFonts w:asciiTheme="minorHAnsi" w:hAnsiTheme="minorHAnsi" w:cstheme="minorBidi"/>
        </w:rPr>
      </w:pPr>
      <w:r w:rsidRPr="33AD9453">
        <w:rPr>
          <w:rFonts w:asciiTheme="minorHAnsi" w:hAnsiTheme="minorHAnsi" w:cstheme="minorBidi"/>
        </w:rPr>
        <w:t xml:space="preserve">If the </w:t>
      </w:r>
      <w:r w:rsidR="666E582E" w:rsidRPr="33AD9453">
        <w:rPr>
          <w:rFonts w:asciiTheme="minorHAnsi" w:hAnsiTheme="minorHAnsi" w:cstheme="minorBidi"/>
        </w:rPr>
        <w:t>university</w:t>
      </w:r>
      <w:r w:rsidRPr="33AD9453">
        <w:rPr>
          <w:rFonts w:asciiTheme="minorHAnsi" w:hAnsiTheme="minorHAnsi" w:cstheme="minorBidi"/>
        </w:rPr>
        <w:t xml:space="preserve"> is not the data controller in respect of processing of personal data (</w:t>
      </w:r>
      <w:proofErr w:type="gramStart"/>
      <w:r w:rsidRPr="33AD9453">
        <w:rPr>
          <w:rFonts w:asciiTheme="minorHAnsi" w:hAnsiTheme="minorHAnsi" w:cstheme="minorBidi"/>
        </w:rPr>
        <w:t>e.g.</w:t>
      </w:r>
      <w:proofErr w:type="gramEnd"/>
      <w:r w:rsidRPr="33AD9453">
        <w:rPr>
          <w:rFonts w:asciiTheme="minorHAnsi" w:hAnsiTheme="minorHAnsi" w:cstheme="minorBidi"/>
        </w:rPr>
        <w:t xml:space="preserve"> where work is being performed on behalf of another party who determines the means and purpose of processing for the </w:t>
      </w:r>
      <w:r w:rsidR="666E582E" w:rsidRPr="33AD9453">
        <w:rPr>
          <w:rFonts w:asciiTheme="minorHAnsi" w:hAnsiTheme="minorHAnsi" w:cstheme="minorBidi"/>
        </w:rPr>
        <w:t>university</w:t>
      </w:r>
      <w:r w:rsidRPr="33AD9453">
        <w:rPr>
          <w:rFonts w:asciiTheme="minorHAnsi" w:hAnsiTheme="minorHAnsi" w:cstheme="minorBidi"/>
        </w:rPr>
        <w:t xml:space="preserve">), the obligations of the GDPR will still apply to the </w:t>
      </w:r>
      <w:r w:rsidR="666E582E" w:rsidRPr="33AD9453">
        <w:rPr>
          <w:rFonts w:asciiTheme="minorHAnsi" w:hAnsiTheme="minorHAnsi" w:cstheme="minorBidi"/>
        </w:rPr>
        <w:t>university</w:t>
      </w:r>
      <w:r w:rsidRPr="33AD9453">
        <w:rPr>
          <w:rFonts w:asciiTheme="minorHAnsi" w:hAnsiTheme="minorHAnsi" w:cstheme="minorBidi"/>
        </w:rPr>
        <w:t xml:space="preserve"> as a data processor. This would mean, for example, that the </w:t>
      </w:r>
      <w:r w:rsidR="666E582E" w:rsidRPr="33AD9453">
        <w:rPr>
          <w:rFonts w:asciiTheme="minorHAnsi" w:hAnsiTheme="minorHAnsi" w:cstheme="minorBidi"/>
        </w:rPr>
        <w:t>university</w:t>
      </w:r>
      <w:r w:rsidRPr="33AD9453">
        <w:rPr>
          <w:rFonts w:asciiTheme="minorHAnsi" w:hAnsiTheme="minorHAnsi" w:cstheme="minorBidi"/>
        </w:rPr>
        <w:t xml:space="preserve"> would be responsible for ensuring the security of the data and for keeping records of processing activities. </w:t>
      </w:r>
    </w:p>
    <w:p w14:paraId="1162608A" w14:textId="4CC7737E" w:rsidR="00197F68" w:rsidRPr="00D472B4" w:rsidRDefault="00B07E67" w:rsidP="007D5778">
      <w:pPr>
        <w:pStyle w:val="Heading1"/>
      </w:pPr>
      <w:bookmarkStart w:id="6" w:name="_F.__What"/>
      <w:bookmarkEnd w:id="6"/>
      <w:r w:rsidRPr="657BD323">
        <w:t>F</w:t>
      </w:r>
      <w:bookmarkStart w:id="7" w:name="Bookmark7"/>
      <w:r w:rsidRPr="657BD323">
        <w:t>.</w:t>
      </w:r>
      <w:r w:rsidRPr="657BD323">
        <w:rPr>
          <w:rFonts w:eastAsia="Arial"/>
        </w:rPr>
        <w:t xml:space="preserve"> </w:t>
      </w:r>
      <w:r w:rsidR="008C45ED">
        <w:tab/>
      </w:r>
      <w:r w:rsidRPr="657BD323">
        <w:t xml:space="preserve">What are your duties and obligations under the GDPR? </w:t>
      </w:r>
      <w:bookmarkEnd w:id="7"/>
    </w:p>
    <w:p w14:paraId="061E4C7A" w14:textId="1D8A4ACE" w:rsidR="00197F68" w:rsidRPr="00362FD0" w:rsidRDefault="007D5778" w:rsidP="00931545">
      <w:pPr>
        <w:pStyle w:val="Heading2"/>
        <w:ind w:left="0"/>
      </w:pPr>
      <w:r>
        <w:t>F1</w:t>
      </w:r>
      <w:r>
        <w:tab/>
        <w:t>D</w:t>
      </w:r>
      <w:r w:rsidR="00B07E67" w:rsidRPr="1C4AD231">
        <w:t>ata protection principles</w:t>
      </w:r>
    </w:p>
    <w:p w14:paraId="53689C97" w14:textId="6ECD1F02" w:rsidR="00197F68" w:rsidRPr="00755359" w:rsidRDefault="0098259C" w:rsidP="006D0293">
      <w:pPr>
        <w:spacing w:after="10"/>
        <w:ind w:left="720" w:right="58" w:hanging="711"/>
        <w:rPr>
          <w:rFonts w:asciiTheme="minorHAnsi" w:hAnsiTheme="minorHAnsi" w:cstheme="minorBidi"/>
        </w:rPr>
      </w:pPr>
      <w:r>
        <w:rPr>
          <w:rFonts w:asciiTheme="minorHAnsi" w:hAnsiTheme="minorHAnsi" w:cstheme="minorBidi"/>
        </w:rPr>
        <w:tab/>
      </w:r>
      <w:r w:rsidR="00F33D07" w:rsidRPr="1C4AD231">
        <w:rPr>
          <w:rFonts w:asciiTheme="minorHAnsi" w:hAnsiTheme="minorHAnsi" w:cstheme="minorBidi"/>
        </w:rPr>
        <w:t>A</w:t>
      </w:r>
      <w:r w:rsidR="00BC5CA5" w:rsidRPr="1C4AD231">
        <w:rPr>
          <w:rFonts w:asciiTheme="minorHAnsi" w:hAnsiTheme="minorHAnsi" w:cstheme="minorBidi"/>
        </w:rPr>
        <w:t>rticle 5 of the GDPR sets out seven key principles which lie at the heart of the general data protection regime</w:t>
      </w:r>
      <w:r w:rsidR="00F33D07" w:rsidRPr="1C4AD231">
        <w:rPr>
          <w:rFonts w:asciiTheme="minorHAnsi" w:hAnsiTheme="minorHAnsi" w:cstheme="minorBidi"/>
        </w:rPr>
        <w:t xml:space="preserve">. </w:t>
      </w:r>
      <w:r w:rsidR="00B07E67" w:rsidRPr="1C4AD231">
        <w:rPr>
          <w:rFonts w:asciiTheme="minorHAnsi" w:hAnsiTheme="minorHAnsi" w:cstheme="minorBidi"/>
        </w:rPr>
        <w:t>Researchers must process all personal data in accordance with the “</w:t>
      </w:r>
      <w:r w:rsidR="00B07E67" w:rsidRPr="1C4AD231">
        <w:rPr>
          <w:rFonts w:asciiTheme="minorHAnsi" w:hAnsiTheme="minorHAnsi" w:cstheme="minorBidi"/>
          <w:b/>
        </w:rPr>
        <w:t>data protection principles</w:t>
      </w:r>
      <w:proofErr w:type="gramStart"/>
      <w:r w:rsidR="00B07E67" w:rsidRPr="1C4AD231">
        <w:rPr>
          <w:rFonts w:asciiTheme="minorHAnsi" w:hAnsiTheme="minorHAnsi" w:cstheme="minorBidi"/>
        </w:rPr>
        <w:t>”, unless</w:t>
      </w:r>
      <w:proofErr w:type="gramEnd"/>
      <w:r w:rsidR="00B07E67" w:rsidRPr="1C4AD231">
        <w:rPr>
          <w:rFonts w:asciiTheme="minorHAnsi" w:hAnsiTheme="minorHAnsi" w:cstheme="minorBidi"/>
        </w:rPr>
        <w:t xml:space="preserve"> there is a relevant exemption (see</w:t>
      </w:r>
      <w:r w:rsidR="00B07E67" w:rsidRPr="0014139B">
        <w:rPr>
          <w:rFonts w:asciiTheme="minorHAnsi" w:hAnsiTheme="minorHAnsi" w:cstheme="minorBidi"/>
          <w:b/>
          <w:bCs/>
        </w:rPr>
        <w:t xml:space="preserve"> </w:t>
      </w:r>
      <w:hyperlink w:anchor="_H.__Are" w:history="1">
        <w:r w:rsidR="0014139B" w:rsidRPr="0014139B">
          <w:rPr>
            <w:rStyle w:val="Hyperlink"/>
            <w:rFonts w:asciiTheme="minorHAnsi" w:hAnsiTheme="minorHAnsi" w:cstheme="minorBidi"/>
            <w:b/>
            <w:bCs/>
          </w:rPr>
          <w:t>S</w:t>
        </w:r>
        <w:r w:rsidR="00B07E67" w:rsidRPr="0014139B">
          <w:rPr>
            <w:rStyle w:val="Hyperlink"/>
            <w:rFonts w:asciiTheme="minorHAnsi" w:hAnsiTheme="minorHAnsi" w:cstheme="minorBidi"/>
            <w:b/>
            <w:bCs/>
          </w:rPr>
          <w:t>ection H</w:t>
        </w:r>
      </w:hyperlink>
      <w:r w:rsidR="00B07E67" w:rsidRPr="1C4AD231">
        <w:rPr>
          <w:rFonts w:asciiTheme="minorHAnsi" w:hAnsiTheme="minorHAnsi" w:cstheme="minorBidi"/>
        </w:rPr>
        <w:t xml:space="preserve"> below). There are other requirements in the GDPR, but the data protection principles represent the core requirements. </w:t>
      </w:r>
    </w:p>
    <w:p w14:paraId="63924100" w14:textId="401B14FC" w:rsidR="3C548027" w:rsidRDefault="3C548027" w:rsidP="00AC3044">
      <w:pPr>
        <w:spacing w:after="10"/>
        <w:ind w:left="0" w:right="58" w:firstLine="0"/>
        <w:rPr>
          <w:rFonts w:asciiTheme="minorHAnsi" w:hAnsiTheme="minorHAnsi" w:cstheme="minorBidi"/>
        </w:rPr>
      </w:pPr>
    </w:p>
    <w:tbl>
      <w:tblPr>
        <w:tblStyle w:val="TableGrid1"/>
        <w:tblW w:w="8426" w:type="dxa"/>
        <w:tblInd w:w="688" w:type="dxa"/>
        <w:tblCellMar>
          <w:left w:w="108" w:type="dxa"/>
          <w:right w:w="46" w:type="dxa"/>
        </w:tblCellMar>
        <w:tblLook w:val="04A0" w:firstRow="1" w:lastRow="0" w:firstColumn="1" w:lastColumn="0" w:noHBand="0" w:noVBand="1"/>
      </w:tblPr>
      <w:tblGrid>
        <w:gridCol w:w="8426"/>
      </w:tblGrid>
      <w:tr w:rsidR="00197F68" w:rsidRPr="00755359" w14:paraId="4269D912" w14:textId="77777777" w:rsidTr="00AC3044">
        <w:trPr>
          <w:trHeight w:val="3255"/>
        </w:trPr>
        <w:tc>
          <w:tcPr>
            <w:tcW w:w="8426" w:type="dxa"/>
            <w:tcBorders>
              <w:top w:val="single" w:sz="17" w:space="0" w:color="003366"/>
              <w:left w:val="single" w:sz="17" w:space="0" w:color="003366"/>
              <w:bottom w:val="single" w:sz="17" w:space="0" w:color="003366"/>
              <w:right w:val="single" w:sz="17" w:space="0" w:color="003366"/>
            </w:tcBorders>
            <w:shd w:val="clear" w:color="auto" w:fill="E5DFEC" w:themeFill="accent4" w:themeFillTint="33"/>
            <w:vAlign w:val="center"/>
          </w:tcPr>
          <w:p w14:paraId="5FD46DEE" w14:textId="4F520E63" w:rsidR="00FE61E3" w:rsidRPr="00AC3044" w:rsidRDefault="00B07E67" w:rsidP="00AC3044">
            <w:pPr>
              <w:spacing w:after="0" w:line="240" w:lineRule="auto"/>
              <w:ind w:left="706" w:right="0" w:firstLine="0"/>
              <w:jc w:val="left"/>
              <w:rPr>
                <w:rFonts w:asciiTheme="minorHAnsi" w:hAnsiTheme="minorHAnsi" w:cstheme="minorHAnsi"/>
                <w:b/>
                <w:bCs/>
                <w:color w:val="auto"/>
                <w:sz w:val="22"/>
              </w:rPr>
            </w:pPr>
            <w:r w:rsidRPr="00AE62B3">
              <w:rPr>
                <w:rFonts w:asciiTheme="minorHAnsi" w:hAnsiTheme="minorHAnsi" w:cstheme="minorHAnsi"/>
                <w:b/>
                <w:bCs/>
                <w:color w:val="auto"/>
                <w:sz w:val="22"/>
              </w:rPr>
              <w:t>Data protection principles</w:t>
            </w:r>
            <w:r w:rsidR="003A02CF" w:rsidRPr="00AE62B3">
              <w:rPr>
                <w:rFonts w:asciiTheme="minorHAnsi" w:hAnsiTheme="minorHAnsi" w:cstheme="minorHAnsi"/>
                <w:b/>
                <w:bCs/>
                <w:color w:val="auto"/>
                <w:sz w:val="22"/>
              </w:rPr>
              <w:t>:</w:t>
            </w:r>
          </w:p>
          <w:p w14:paraId="7A205D0D" w14:textId="54969E26" w:rsidR="003A7E35" w:rsidRPr="00AE62B3" w:rsidRDefault="0053493D" w:rsidP="007A6C1B">
            <w:pPr>
              <w:pStyle w:val="PlainText"/>
              <w:numPr>
                <w:ilvl w:val="0"/>
                <w:numId w:val="7"/>
              </w:numPr>
              <w:rPr>
                <w:rFonts w:asciiTheme="minorHAnsi" w:eastAsia="Times New Roman" w:hAnsiTheme="minorHAnsi" w:cstheme="minorHAnsi"/>
                <w:color w:val="222222"/>
                <w:sz w:val="20"/>
                <w:szCs w:val="20"/>
              </w:rPr>
            </w:pPr>
            <w:r w:rsidRPr="00AE62B3">
              <w:rPr>
                <w:b/>
                <w:bCs/>
                <w:sz w:val="20"/>
                <w:szCs w:val="20"/>
              </w:rPr>
              <w:t>L</w:t>
            </w:r>
            <w:r w:rsidR="003A7E35" w:rsidRPr="00AE62B3">
              <w:rPr>
                <w:b/>
                <w:bCs/>
                <w:sz w:val="20"/>
                <w:szCs w:val="20"/>
              </w:rPr>
              <w:t xml:space="preserve">awfulness, </w:t>
            </w:r>
            <w:proofErr w:type="gramStart"/>
            <w:r w:rsidR="003A7E35" w:rsidRPr="00AE62B3">
              <w:rPr>
                <w:b/>
                <w:bCs/>
                <w:sz w:val="20"/>
                <w:szCs w:val="20"/>
              </w:rPr>
              <w:t>fairness</w:t>
            </w:r>
            <w:proofErr w:type="gramEnd"/>
            <w:r w:rsidR="003A7E35" w:rsidRPr="00AE62B3">
              <w:rPr>
                <w:b/>
                <w:bCs/>
                <w:sz w:val="20"/>
                <w:szCs w:val="20"/>
              </w:rPr>
              <w:t xml:space="preserve"> and transparency</w:t>
            </w:r>
            <w:r w:rsidR="003A7E35" w:rsidRPr="00AE62B3">
              <w:rPr>
                <w:rFonts w:asciiTheme="minorHAnsi" w:eastAsia="Times New Roman" w:hAnsiTheme="minorHAnsi" w:cstheme="minorHAnsi"/>
                <w:b/>
                <w:bCs/>
                <w:color w:val="222222"/>
                <w:sz w:val="20"/>
                <w:szCs w:val="20"/>
              </w:rPr>
              <w:t xml:space="preserve"> – </w:t>
            </w:r>
            <w:r w:rsidR="003A7E35" w:rsidRPr="00AE62B3">
              <w:rPr>
                <w:rFonts w:asciiTheme="minorHAnsi" w:eastAsia="Times New Roman" w:hAnsiTheme="minorHAnsi" w:cstheme="minorHAnsi"/>
                <w:color w:val="222222"/>
                <w:sz w:val="20"/>
                <w:szCs w:val="20"/>
              </w:rPr>
              <w:t>identify</w:t>
            </w:r>
            <w:r w:rsidR="003A7E35" w:rsidRPr="00AE62B3">
              <w:rPr>
                <w:rFonts w:asciiTheme="minorHAnsi" w:eastAsia="Times New Roman" w:hAnsiTheme="minorHAnsi" w:cstheme="minorHAnsi"/>
                <w:b/>
                <w:bCs/>
                <w:color w:val="222222"/>
                <w:sz w:val="20"/>
                <w:szCs w:val="20"/>
              </w:rPr>
              <w:t xml:space="preserve"> </w:t>
            </w:r>
            <w:r w:rsidR="003A7E35" w:rsidRPr="00AE62B3">
              <w:rPr>
                <w:rFonts w:asciiTheme="minorHAnsi" w:eastAsia="Times New Roman" w:hAnsiTheme="minorHAnsi" w:cstheme="minorHAnsi"/>
                <w:color w:val="222222"/>
                <w:sz w:val="20"/>
                <w:szCs w:val="20"/>
              </w:rPr>
              <w:t xml:space="preserve">lawful basis for processing – only shared legally, not adversely impact individuals, informing individuals/privacy notice (transparency) </w:t>
            </w:r>
          </w:p>
          <w:p w14:paraId="469EB46F" w14:textId="67473AE7" w:rsidR="003A7E35" w:rsidRPr="00AE62B3" w:rsidRDefault="0053493D" w:rsidP="007A6C1B">
            <w:pPr>
              <w:pStyle w:val="PlainText"/>
              <w:numPr>
                <w:ilvl w:val="0"/>
                <w:numId w:val="7"/>
              </w:numPr>
              <w:rPr>
                <w:rFonts w:asciiTheme="minorHAnsi" w:eastAsia="Times New Roman" w:hAnsiTheme="minorHAnsi" w:cstheme="minorHAnsi"/>
                <w:b/>
                <w:bCs/>
                <w:color w:val="222222"/>
                <w:sz w:val="20"/>
                <w:szCs w:val="20"/>
              </w:rPr>
            </w:pPr>
            <w:r w:rsidRPr="00AE62B3">
              <w:rPr>
                <w:rFonts w:asciiTheme="minorHAnsi" w:eastAsia="Times New Roman" w:hAnsiTheme="minorHAnsi" w:cstheme="minorHAnsi"/>
                <w:b/>
                <w:bCs/>
                <w:color w:val="222222"/>
                <w:sz w:val="20"/>
                <w:szCs w:val="20"/>
              </w:rPr>
              <w:t>P</w:t>
            </w:r>
            <w:r w:rsidR="003A7E35" w:rsidRPr="00AE62B3">
              <w:rPr>
                <w:rFonts w:asciiTheme="minorHAnsi" w:eastAsia="Times New Roman" w:hAnsiTheme="minorHAnsi" w:cstheme="minorHAnsi"/>
                <w:b/>
                <w:bCs/>
                <w:color w:val="222222"/>
                <w:sz w:val="20"/>
                <w:szCs w:val="20"/>
              </w:rPr>
              <w:t xml:space="preserve">urpose limitation – </w:t>
            </w:r>
            <w:r w:rsidR="003A7E35" w:rsidRPr="00AE62B3">
              <w:rPr>
                <w:rFonts w:asciiTheme="minorHAnsi" w:eastAsia="Times New Roman" w:hAnsiTheme="minorHAnsi" w:cstheme="minorHAnsi"/>
                <w:color w:val="222222"/>
                <w:sz w:val="20"/>
                <w:szCs w:val="20"/>
              </w:rPr>
              <w:t>only being used for a specific purpose</w:t>
            </w:r>
            <w:r w:rsidR="003A7E35" w:rsidRPr="00AE62B3">
              <w:rPr>
                <w:rFonts w:asciiTheme="minorHAnsi" w:eastAsia="Times New Roman" w:hAnsiTheme="minorHAnsi" w:cstheme="minorHAnsi"/>
                <w:b/>
                <w:bCs/>
                <w:color w:val="222222"/>
                <w:sz w:val="20"/>
                <w:szCs w:val="20"/>
              </w:rPr>
              <w:t xml:space="preserve"> </w:t>
            </w:r>
          </w:p>
          <w:p w14:paraId="517CD1C7" w14:textId="7A8B80BD" w:rsidR="003A7E35" w:rsidRPr="00AE62B3" w:rsidRDefault="0053493D" w:rsidP="007A6C1B">
            <w:pPr>
              <w:pStyle w:val="PlainText"/>
              <w:numPr>
                <w:ilvl w:val="0"/>
                <w:numId w:val="7"/>
              </w:numPr>
              <w:rPr>
                <w:rFonts w:asciiTheme="minorHAnsi" w:eastAsia="Times New Roman" w:hAnsiTheme="minorHAnsi" w:cstheme="minorHAnsi"/>
                <w:b/>
                <w:bCs/>
                <w:color w:val="222222"/>
                <w:sz w:val="20"/>
                <w:szCs w:val="20"/>
              </w:rPr>
            </w:pPr>
            <w:r w:rsidRPr="00AE62B3">
              <w:rPr>
                <w:rFonts w:asciiTheme="minorHAnsi" w:eastAsia="Times New Roman" w:hAnsiTheme="minorHAnsi" w:cstheme="minorHAnsi"/>
                <w:b/>
                <w:bCs/>
                <w:color w:val="222222"/>
                <w:sz w:val="20"/>
                <w:szCs w:val="20"/>
              </w:rPr>
              <w:t>D</w:t>
            </w:r>
            <w:r w:rsidR="003A7E35" w:rsidRPr="00AE62B3">
              <w:rPr>
                <w:rFonts w:asciiTheme="minorHAnsi" w:eastAsia="Times New Roman" w:hAnsiTheme="minorHAnsi" w:cstheme="minorHAnsi"/>
                <w:b/>
                <w:bCs/>
                <w:color w:val="222222"/>
                <w:sz w:val="20"/>
                <w:szCs w:val="20"/>
              </w:rPr>
              <w:t xml:space="preserve">ata minimisation – </w:t>
            </w:r>
            <w:r w:rsidR="003A7E35" w:rsidRPr="00AE62B3">
              <w:rPr>
                <w:rFonts w:asciiTheme="minorHAnsi" w:eastAsia="Times New Roman" w:hAnsiTheme="minorHAnsi" w:cstheme="minorHAnsi"/>
                <w:color w:val="222222"/>
                <w:sz w:val="20"/>
                <w:szCs w:val="20"/>
              </w:rPr>
              <w:t>minimum personal data to carry out what is required</w:t>
            </w:r>
          </w:p>
          <w:p w14:paraId="3C8895C3" w14:textId="506CD9B8" w:rsidR="003A7E35" w:rsidRPr="00AE62B3" w:rsidRDefault="0053493D" w:rsidP="007A6C1B">
            <w:pPr>
              <w:pStyle w:val="ListParagraph"/>
              <w:numPr>
                <w:ilvl w:val="0"/>
                <w:numId w:val="7"/>
              </w:numPr>
              <w:spacing w:after="0" w:line="240" w:lineRule="auto"/>
              <w:ind w:right="0"/>
              <w:jc w:val="left"/>
              <w:rPr>
                <w:rFonts w:asciiTheme="minorHAnsi" w:eastAsia="Times New Roman" w:hAnsiTheme="minorHAnsi" w:cstheme="minorHAnsi"/>
                <w:b/>
                <w:bCs/>
                <w:color w:val="222222"/>
                <w:szCs w:val="20"/>
              </w:rPr>
            </w:pPr>
            <w:r w:rsidRPr="00AE62B3">
              <w:rPr>
                <w:rFonts w:asciiTheme="minorHAnsi" w:eastAsia="Times New Roman" w:hAnsiTheme="minorHAnsi" w:cstheme="minorHAnsi"/>
                <w:b/>
                <w:bCs/>
                <w:color w:val="222222"/>
                <w:szCs w:val="20"/>
              </w:rPr>
              <w:t>A</w:t>
            </w:r>
            <w:r w:rsidR="003A7E35" w:rsidRPr="00AE62B3">
              <w:rPr>
                <w:rFonts w:asciiTheme="minorHAnsi" w:eastAsia="Times New Roman" w:hAnsiTheme="minorHAnsi" w:cstheme="minorHAnsi"/>
                <w:b/>
                <w:bCs/>
                <w:color w:val="222222"/>
                <w:szCs w:val="20"/>
              </w:rPr>
              <w:t xml:space="preserve">ccuracy – </w:t>
            </w:r>
            <w:r w:rsidR="003A7E35" w:rsidRPr="00AE62B3">
              <w:rPr>
                <w:rFonts w:asciiTheme="minorHAnsi" w:eastAsia="Times New Roman" w:hAnsiTheme="minorHAnsi" w:cstheme="minorHAnsi"/>
                <w:color w:val="222222"/>
                <w:szCs w:val="20"/>
              </w:rPr>
              <w:t>accurate and reliable information</w:t>
            </w:r>
          </w:p>
          <w:p w14:paraId="5EE624D7" w14:textId="61B4C64E" w:rsidR="003A7E35" w:rsidRPr="00AE62B3" w:rsidRDefault="0053493D" w:rsidP="007A6C1B">
            <w:pPr>
              <w:pStyle w:val="ListParagraph"/>
              <w:numPr>
                <w:ilvl w:val="0"/>
                <w:numId w:val="7"/>
              </w:numPr>
              <w:spacing w:after="0" w:line="240" w:lineRule="auto"/>
              <w:ind w:right="0"/>
              <w:jc w:val="left"/>
              <w:rPr>
                <w:rFonts w:asciiTheme="minorHAnsi" w:eastAsia="Times New Roman" w:hAnsiTheme="minorHAnsi" w:cstheme="minorHAnsi"/>
                <w:b/>
                <w:bCs/>
                <w:color w:val="222222"/>
                <w:szCs w:val="20"/>
              </w:rPr>
            </w:pPr>
            <w:r w:rsidRPr="00AE62B3">
              <w:rPr>
                <w:rFonts w:asciiTheme="minorHAnsi" w:eastAsia="Times New Roman" w:hAnsiTheme="minorHAnsi" w:cstheme="minorHAnsi"/>
                <w:b/>
                <w:bCs/>
                <w:color w:val="222222"/>
                <w:szCs w:val="20"/>
              </w:rPr>
              <w:t>S</w:t>
            </w:r>
            <w:r w:rsidR="003A7E35" w:rsidRPr="00AE62B3">
              <w:rPr>
                <w:rFonts w:asciiTheme="minorHAnsi" w:eastAsia="Times New Roman" w:hAnsiTheme="minorHAnsi" w:cstheme="minorHAnsi"/>
                <w:b/>
                <w:bCs/>
                <w:color w:val="222222"/>
                <w:szCs w:val="20"/>
              </w:rPr>
              <w:t xml:space="preserve">torage limitation – </w:t>
            </w:r>
            <w:r w:rsidR="003A7E35" w:rsidRPr="00AE62B3">
              <w:rPr>
                <w:rFonts w:asciiTheme="minorHAnsi" w:eastAsia="Times New Roman" w:hAnsiTheme="minorHAnsi" w:cstheme="minorHAnsi"/>
                <w:color w:val="222222"/>
                <w:szCs w:val="20"/>
              </w:rPr>
              <w:t>only held for specified purpose with set storage and retention requirements</w:t>
            </w:r>
          </w:p>
          <w:p w14:paraId="556AA73D" w14:textId="77777777" w:rsidR="00197F68" w:rsidRPr="00AE62B3" w:rsidRDefault="0022217D" w:rsidP="007A6C1B">
            <w:pPr>
              <w:pStyle w:val="ListParagraph"/>
              <w:numPr>
                <w:ilvl w:val="0"/>
                <w:numId w:val="7"/>
              </w:numPr>
              <w:spacing w:after="0" w:line="240" w:lineRule="auto"/>
              <w:ind w:right="0"/>
              <w:jc w:val="left"/>
              <w:rPr>
                <w:rFonts w:asciiTheme="minorHAnsi" w:hAnsiTheme="minorHAnsi" w:cstheme="minorHAnsi"/>
                <w:szCs w:val="20"/>
              </w:rPr>
            </w:pPr>
            <w:r w:rsidRPr="00AE62B3">
              <w:rPr>
                <w:rFonts w:asciiTheme="minorHAnsi" w:eastAsia="Times New Roman" w:hAnsiTheme="minorHAnsi" w:cstheme="minorHAnsi"/>
                <w:b/>
                <w:bCs/>
                <w:color w:val="222222"/>
                <w:szCs w:val="20"/>
              </w:rPr>
              <w:t>I</w:t>
            </w:r>
            <w:r w:rsidR="003A7E35" w:rsidRPr="00AE62B3">
              <w:rPr>
                <w:rFonts w:asciiTheme="minorHAnsi" w:eastAsia="Times New Roman" w:hAnsiTheme="minorHAnsi" w:cstheme="minorHAnsi"/>
                <w:b/>
                <w:bCs/>
                <w:color w:val="222222"/>
                <w:szCs w:val="20"/>
              </w:rPr>
              <w:t xml:space="preserve">ntegrity and confidentiality (security) – </w:t>
            </w:r>
            <w:r w:rsidR="003A7E35" w:rsidRPr="00AE62B3">
              <w:rPr>
                <w:rFonts w:asciiTheme="minorHAnsi" w:eastAsia="Times New Roman" w:hAnsiTheme="minorHAnsi" w:cstheme="minorHAnsi"/>
                <w:color w:val="222222"/>
                <w:szCs w:val="20"/>
              </w:rPr>
              <w:t>data quality, processed securely with authorised/approved access</w:t>
            </w:r>
            <w:r w:rsidR="00B07E67" w:rsidRPr="00AE62B3">
              <w:rPr>
                <w:rFonts w:asciiTheme="minorHAnsi" w:hAnsiTheme="minorHAnsi" w:cstheme="minorHAnsi"/>
                <w:szCs w:val="20"/>
              </w:rPr>
              <w:t xml:space="preserve"> </w:t>
            </w:r>
          </w:p>
          <w:p w14:paraId="6AB87B94" w14:textId="18C6133F" w:rsidR="00760895" w:rsidRPr="00755359" w:rsidRDefault="00760895" w:rsidP="007A6C1B">
            <w:pPr>
              <w:pStyle w:val="ListParagraph"/>
              <w:numPr>
                <w:ilvl w:val="0"/>
                <w:numId w:val="7"/>
              </w:numPr>
              <w:spacing w:after="0" w:line="240" w:lineRule="auto"/>
              <w:ind w:right="0"/>
              <w:jc w:val="left"/>
              <w:rPr>
                <w:rFonts w:asciiTheme="minorHAnsi" w:hAnsiTheme="minorHAnsi" w:cstheme="minorHAnsi"/>
              </w:rPr>
            </w:pPr>
            <w:r w:rsidRPr="00AE62B3">
              <w:rPr>
                <w:rFonts w:asciiTheme="minorHAnsi" w:eastAsia="Times New Roman" w:hAnsiTheme="minorHAnsi" w:cstheme="minorHAnsi"/>
                <w:b/>
                <w:bCs/>
                <w:color w:val="222222"/>
                <w:szCs w:val="20"/>
              </w:rPr>
              <w:t xml:space="preserve">Accountability </w:t>
            </w:r>
            <w:r w:rsidR="00FD648F" w:rsidRPr="00AE62B3">
              <w:rPr>
                <w:rFonts w:asciiTheme="minorHAnsi" w:eastAsia="Times New Roman" w:hAnsiTheme="minorHAnsi" w:cstheme="minorHAnsi"/>
                <w:b/>
                <w:bCs/>
                <w:color w:val="222222"/>
                <w:szCs w:val="20"/>
              </w:rPr>
              <w:t>–</w:t>
            </w:r>
            <w:r w:rsidRPr="00AE62B3">
              <w:rPr>
                <w:rFonts w:asciiTheme="minorHAnsi" w:hAnsiTheme="minorHAnsi" w:cstheme="minorHAnsi"/>
                <w:szCs w:val="20"/>
              </w:rPr>
              <w:t xml:space="preserve"> </w:t>
            </w:r>
            <w:r w:rsidR="00FD648F" w:rsidRPr="00AE62B3">
              <w:rPr>
                <w:rFonts w:asciiTheme="minorHAnsi" w:hAnsiTheme="minorHAnsi" w:cstheme="minorHAnsi"/>
                <w:szCs w:val="20"/>
              </w:rPr>
              <w:t>demonstrate compliance</w:t>
            </w:r>
          </w:p>
        </w:tc>
      </w:tr>
    </w:tbl>
    <w:p w14:paraId="34491FED" w14:textId="5CCD6E39" w:rsidR="3C548027" w:rsidRDefault="3C548027" w:rsidP="3C548027">
      <w:pPr>
        <w:ind w:left="9" w:right="58"/>
        <w:rPr>
          <w:rFonts w:asciiTheme="minorHAnsi" w:hAnsiTheme="minorHAnsi" w:cstheme="minorBidi"/>
        </w:rPr>
      </w:pPr>
    </w:p>
    <w:p w14:paraId="71B96E7D" w14:textId="651C0177" w:rsidR="00197F68" w:rsidRPr="00755359" w:rsidRDefault="00B07E67">
      <w:pPr>
        <w:ind w:left="9" w:right="58"/>
        <w:rPr>
          <w:rFonts w:asciiTheme="minorHAnsi" w:hAnsiTheme="minorHAnsi" w:cstheme="minorHAnsi"/>
        </w:rPr>
      </w:pPr>
      <w:r w:rsidRPr="00755359">
        <w:rPr>
          <w:rFonts w:asciiTheme="minorHAnsi" w:hAnsiTheme="minorHAnsi" w:cstheme="minorHAnsi"/>
        </w:rPr>
        <w:t xml:space="preserve">Most of the data protection principles are self-explanatory, but they benefit from further comment in a research context. </w:t>
      </w:r>
    </w:p>
    <w:p w14:paraId="6BC801F9" w14:textId="1F456562" w:rsidR="00197F68" w:rsidRPr="00934EF5" w:rsidRDefault="00AF57A5" w:rsidP="00931545">
      <w:pPr>
        <w:pStyle w:val="Heading3"/>
        <w:ind w:left="0" w:firstLine="0"/>
      </w:pPr>
      <w:r w:rsidRPr="00934EF5">
        <w:t>F</w:t>
      </w:r>
      <w:r w:rsidR="005B2DE4">
        <w:t>1.1</w:t>
      </w:r>
      <w:r w:rsidRPr="00934EF5">
        <w:tab/>
      </w:r>
      <w:r w:rsidR="00551414" w:rsidRPr="00934EF5">
        <w:t>Lawful</w:t>
      </w:r>
      <w:r w:rsidR="004E099D" w:rsidRPr="00934EF5">
        <w:t xml:space="preserve">, </w:t>
      </w:r>
      <w:proofErr w:type="gramStart"/>
      <w:r w:rsidR="004E099D" w:rsidRPr="00934EF5">
        <w:t>fair</w:t>
      </w:r>
      <w:proofErr w:type="gramEnd"/>
      <w:r w:rsidR="004E099D" w:rsidRPr="00934EF5">
        <w:t xml:space="preserve"> </w:t>
      </w:r>
      <w:r w:rsidR="00B07E67" w:rsidRPr="00934EF5">
        <w:t xml:space="preserve">and </w:t>
      </w:r>
      <w:r w:rsidR="004E099D" w:rsidRPr="00934EF5">
        <w:t>t</w:t>
      </w:r>
      <w:r w:rsidR="00B07E67" w:rsidRPr="00934EF5">
        <w:t xml:space="preserve">ransparent processing </w:t>
      </w:r>
    </w:p>
    <w:p w14:paraId="73009DEC" w14:textId="012320C3" w:rsidR="00197F68" w:rsidRPr="00755359" w:rsidRDefault="00B07E67" w:rsidP="00AF57A5">
      <w:pPr>
        <w:spacing w:after="234"/>
        <w:ind w:left="720" w:right="58" w:firstLine="0"/>
        <w:rPr>
          <w:rFonts w:asciiTheme="minorHAnsi" w:hAnsiTheme="minorHAnsi" w:cstheme="minorBidi"/>
        </w:rPr>
      </w:pPr>
      <w:r w:rsidRPr="1C4AD231">
        <w:rPr>
          <w:rFonts w:asciiTheme="minorHAnsi" w:hAnsiTheme="minorHAnsi" w:cstheme="minorBidi"/>
        </w:rPr>
        <w:t xml:space="preserve">This is, perhaps, the most important data protection principle: it is the overriding objective of the </w:t>
      </w:r>
      <w:r w:rsidR="00CC059A" w:rsidRPr="1C4AD231">
        <w:rPr>
          <w:rFonts w:asciiTheme="minorHAnsi" w:hAnsiTheme="minorHAnsi" w:cstheme="minorBidi"/>
        </w:rPr>
        <w:t>GDPR,</w:t>
      </w:r>
      <w:r w:rsidRPr="1C4AD231">
        <w:rPr>
          <w:rFonts w:asciiTheme="minorHAnsi" w:hAnsiTheme="minorHAnsi" w:cstheme="minorBidi"/>
        </w:rPr>
        <w:t xml:space="preserve"> and all the subsequent data protection principles are, in effect, requirements for complying with this principle. There are three aspects to this data protection principle, which are discussed below. </w:t>
      </w:r>
    </w:p>
    <w:p w14:paraId="64D72728" w14:textId="36855170" w:rsidR="00197F68" w:rsidRPr="00E53665" w:rsidRDefault="00B12DD8" w:rsidP="00C81D63">
      <w:pPr>
        <w:pStyle w:val="Heading3"/>
      </w:pPr>
      <w:r w:rsidRPr="00E53665">
        <w:t>F</w:t>
      </w:r>
      <w:r w:rsidR="005B2DE4" w:rsidRPr="00E53665">
        <w:t>1.1</w:t>
      </w:r>
      <w:r w:rsidRPr="00E53665">
        <w:t>.1</w:t>
      </w:r>
      <w:r w:rsidRPr="00E53665">
        <w:tab/>
      </w:r>
      <w:r w:rsidR="00B07E67" w:rsidRPr="00E53665">
        <w:t xml:space="preserve">Lawful processing </w:t>
      </w:r>
    </w:p>
    <w:p w14:paraId="2D060326" w14:textId="391B9D59" w:rsidR="00197F68" w:rsidRPr="003E5A4B" w:rsidRDefault="00B07E67" w:rsidP="007A6C1B">
      <w:pPr>
        <w:pStyle w:val="Heading4"/>
        <w:numPr>
          <w:ilvl w:val="0"/>
          <w:numId w:val="13"/>
        </w:numPr>
      </w:pPr>
      <w:r w:rsidRPr="003E5A4B">
        <w:t>Personal data</w:t>
      </w:r>
    </w:p>
    <w:p w14:paraId="5AB38592" w14:textId="403681FB" w:rsidR="00197F68" w:rsidRPr="00755359" w:rsidRDefault="00B07E67" w:rsidP="00FD6FDD">
      <w:pPr>
        <w:spacing w:after="221"/>
        <w:ind w:left="720" w:right="58" w:firstLine="0"/>
        <w:rPr>
          <w:rFonts w:asciiTheme="minorHAnsi" w:hAnsiTheme="minorHAnsi" w:cstheme="minorBidi"/>
        </w:rPr>
      </w:pPr>
      <w:r w:rsidRPr="1C4AD231">
        <w:rPr>
          <w:rFonts w:asciiTheme="minorHAnsi" w:hAnsiTheme="minorHAnsi" w:cstheme="minorBidi"/>
        </w:rPr>
        <w:t xml:space="preserve">The processing of personal data must have a lawful basis (a legally acceptable reason for processing the data), which must be documented by the data controller. </w:t>
      </w:r>
      <w:r w:rsidR="001F19BA" w:rsidRPr="1C4AD231">
        <w:rPr>
          <w:rFonts w:asciiTheme="minorHAnsi" w:hAnsiTheme="minorHAnsi" w:cstheme="minorBidi"/>
        </w:rPr>
        <w:t xml:space="preserve">The lawful basis for processing </w:t>
      </w:r>
      <w:r w:rsidR="00CB5246" w:rsidRPr="1C4AD231">
        <w:rPr>
          <w:rFonts w:asciiTheme="minorHAnsi" w:hAnsiTheme="minorHAnsi" w:cstheme="minorBidi"/>
        </w:rPr>
        <w:t>is</w:t>
      </w:r>
      <w:r w:rsidR="001F19BA" w:rsidRPr="1C4AD231">
        <w:rPr>
          <w:rFonts w:asciiTheme="minorHAnsi" w:hAnsiTheme="minorHAnsi" w:cstheme="minorBidi"/>
        </w:rPr>
        <w:t xml:space="preserve"> set out in Article 6 of the GDPR. At least one of these must apply whenever you process personal data </w:t>
      </w:r>
      <w:r w:rsidR="00CB5246" w:rsidRPr="1C4AD231">
        <w:rPr>
          <w:rFonts w:asciiTheme="minorHAnsi" w:hAnsiTheme="minorHAnsi" w:cstheme="minorBidi"/>
        </w:rPr>
        <w:t>and o</w:t>
      </w:r>
      <w:r w:rsidRPr="1C4AD231">
        <w:rPr>
          <w:rFonts w:asciiTheme="minorHAnsi" w:hAnsiTheme="minorHAnsi" w:cstheme="minorBidi"/>
        </w:rPr>
        <w:t xml:space="preserve">f the six possible legal bases specified in the GDPR, three are of relevance to research.  </w:t>
      </w:r>
    </w:p>
    <w:p w14:paraId="341817CB" w14:textId="606D1F19" w:rsidR="00197F68" w:rsidRDefault="00B07E67" w:rsidP="007A6C1B">
      <w:pPr>
        <w:pStyle w:val="ListParagraph"/>
        <w:numPr>
          <w:ilvl w:val="0"/>
          <w:numId w:val="4"/>
        </w:numPr>
        <w:spacing w:after="221"/>
        <w:ind w:left="1170" w:right="58" w:hanging="450"/>
        <w:rPr>
          <w:rFonts w:asciiTheme="minorHAnsi" w:hAnsiTheme="minorHAnsi" w:cstheme="minorBidi"/>
        </w:rPr>
      </w:pPr>
      <w:r w:rsidRPr="33AD9453">
        <w:rPr>
          <w:rFonts w:asciiTheme="minorHAnsi" w:hAnsiTheme="minorHAnsi" w:cstheme="minorBidi"/>
          <w:b/>
        </w:rPr>
        <w:t>Public interest task</w:t>
      </w:r>
      <w:r w:rsidRPr="33AD9453">
        <w:rPr>
          <w:rFonts w:asciiTheme="minorHAnsi" w:hAnsiTheme="minorHAnsi" w:cstheme="minorBidi"/>
        </w:rPr>
        <w:t xml:space="preserve"> – this will likely be the most common legal basis for </w:t>
      </w:r>
      <w:r w:rsidR="00CC059A" w:rsidRPr="33AD9453">
        <w:rPr>
          <w:rFonts w:asciiTheme="minorHAnsi" w:hAnsiTheme="minorHAnsi" w:cstheme="minorBidi"/>
        </w:rPr>
        <w:t>processing and</w:t>
      </w:r>
      <w:r w:rsidRPr="33AD9453">
        <w:rPr>
          <w:rFonts w:asciiTheme="minorHAnsi" w:hAnsiTheme="minorHAnsi" w:cstheme="minorBidi"/>
        </w:rPr>
        <w:t xml:space="preserve"> applies where the processing is </w:t>
      </w:r>
      <w:r w:rsidRPr="33AD9453">
        <w:rPr>
          <w:rFonts w:asciiTheme="minorHAnsi" w:hAnsiTheme="minorHAnsi" w:cstheme="minorBidi"/>
          <w:sz w:val="21"/>
          <w:szCs w:val="21"/>
        </w:rPr>
        <w:t>necessary</w:t>
      </w:r>
      <w:r w:rsidRPr="33AD9453">
        <w:rPr>
          <w:rFonts w:asciiTheme="minorHAnsi" w:hAnsiTheme="minorHAnsi" w:cstheme="minorBidi"/>
        </w:rPr>
        <w:t xml:space="preserve"> for the performance of a task carried out in the public interest. As a result, personal data can be processed without consent where the processing is necessary for research carried out in the public interest, which would cover the majority of the </w:t>
      </w:r>
      <w:r w:rsidR="5808BE1F"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’s research.</w:t>
      </w:r>
    </w:p>
    <w:p w14:paraId="554EF745" w14:textId="77777777" w:rsidR="00CD0DFA" w:rsidRPr="00BF0184" w:rsidRDefault="00CD0DFA" w:rsidP="00CD0DFA">
      <w:pPr>
        <w:pStyle w:val="ListParagraph"/>
        <w:spacing w:after="221"/>
        <w:ind w:left="1170" w:right="58" w:firstLine="0"/>
        <w:rPr>
          <w:rFonts w:asciiTheme="minorHAnsi" w:hAnsiTheme="minorHAnsi" w:cstheme="minorBidi"/>
        </w:rPr>
      </w:pPr>
    </w:p>
    <w:p w14:paraId="1B5593DA" w14:textId="36C64D83" w:rsidR="00197F68" w:rsidRPr="0057496D" w:rsidRDefault="00B07E67" w:rsidP="007A6C1B">
      <w:pPr>
        <w:pStyle w:val="ListParagraph"/>
        <w:numPr>
          <w:ilvl w:val="0"/>
          <w:numId w:val="4"/>
        </w:numPr>
        <w:spacing w:after="112"/>
        <w:ind w:left="1170" w:right="58" w:hanging="450"/>
        <w:rPr>
          <w:rFonts w:asciiTheme="minorHAnsi" w:hAnsiTheme="minorHAnsi" w:cstheme="minorBidi"/>
        </w:rPr>
      </w:pPr>
      <w:r w:rsidRPr="0057496D">
        <w:rPr>
          <w:rFonts w:asciiTheme="minorHAnsi" w:hAnsiTheme="minorHAnsi" w:cstheme="minorBidi"/>
          <w:b/>
        </w:rPr>
        <w:t>Consent</w:t>
      </w:r>
      <w:r w:rsidRPr="0057496D">
        <w:rPr>
          <w:rFonts w:asciiTheme="minorHAnsi" w:hAnsiTheme="minorHAnsi" w:cstheme="minorBidi"/>
        </w:rPr>
        <w:t xml:space="preserve"> – the consent of the individual to whom the information relates provides a lawful basis for the processing of personal data, whether that consent is obtained directly from the individual concerned or indirectly by a </w:t>
      </w:r>
      <w:r w:rsidR="007575B6" w:rsidRPr="0057496D">
        <w:rPr>
          <w:rFonts w:asciiTheme="minorHAnsi" w:hAnsiTheme="minorHAnsi" w:cstheme="minorBidi"/>
        </w:rPr>
        <w:t>third-party</w:t>
      </w:r>
      <w:r w:rsidRPr="0057496D">
        <w:rPr>
          <w:rFonts w:asciiTheme="minorHAnsi" w:hAnsiTheme="minorHAnsi" w:cstheme="minorBidi"/>
        </w:rPr>
        <w:t xml:space="preserve"> contributor to the research project. However, the GDPR sets a very high standard for valid consent, as detailed at A</w:t>
      </w:r>
      <w:r w:rsidR="00617580" w:rsidRPr="0057496D">
        <w:rPr>
          <w:rFonts w:asciiTheme="minorHAnsi" w:hAnsiTheme="minorHAnsi" w:cstheme="minorBidi"/>
        </w:rPr>
        <w:t>ppendix</w:t>
      </w:r>
      <w:r w:rsidRPr="0057496D">
        <w:rPr>
          <w:rFonts w:asciiTheme="minorHAnsi" w:hAnsiTheme="minorHAnsi" w:cstheme="minorBidi"/>
        </w:rPr>
        <w:t xml:space="preserve"> </w:t>
      </w:r>
      <w:r w:rsidR="007575B6" w:rsidRPr="0057496D">
        <w:rPr>
          <w:rFonts w:asciiTheme="minorHAnsi" w:hAnsiTheme="minorHAnsi" w:cstheme="minorBidi"/>
        </w:rPr>
        <w:t>A,</w:t>
      </w:r>
      <w:r w:rsidRPr="0057496D">
        <w:rPr>
          <w:rFonts w:asciiTheme="minorHAnsi" w:hAnsiTheme="minorHAnsi" w:cstheme="minorBidi"/>
        </w:rPr>
        <w:t xml:space="preserve"> and it may therefore be difficult to rely on consent as your basis for processing, particularly where you are relying on consent obtained by a third party on your behalf.  Care needs to be taken over the form of any document seeking consent</w:t>
      </w:r>
      <w:r w:rsidR="0057496D" w:rsidRPr="0057496D">
        <w:rPr>
          <w:rFonts w:asciiTheme="minorHAnsi" w:hAnsiTheme="minorHAnsi" w:cstheme="minorBidi"/>
        </w:rPr>
        <w:t xml:space="preserve"> (please see the </w:t>
      </w:r>
      <w:hyperlink r:id="rId16" w:history="1">
        <w:r w:rsidR="0057496D" w:rsidRPr="0057496D">
          <w:rPr>
            <w:rStyle w:val="Hyperlink"/>
            <w:rFonts w:asciiTheme="minorHAnsi" w:hAnsiTheme="minorHAnsi" w:cstheme="minorBidi"/>
          </w:rPr>
          <w:t>Research Information Governance web page</w:t>
        </w:r>
      </w:hyperlink>
      <w:r w:rsidR="0057496D">
        <w:rPr>
          <w:rFonts w:asciiTheme="minorHAnsi" w:hAnsiTheme="minorHAnsi" w:cstheme="minorBidi"/>
        </w:rPr>
        <w:t xml:space="preserve">) </w:t>
      </w:r>
      <w:r w:rsidRPr="0057496D">
        <w:rPr>
          <w:rFonts w:asciiTheme="minorHAnsi" w:hAnsiTheme="minorHAnsi" w:cstheme="minorBidi"/>
        </w:rPr>
        <w:t xml:space="preserve">to ensure that consent has been freely given and that it includes the purposes for which the research team wish to use it. The GDPR recognises that it may not be possible to specify all the purposes of the research in advance. Researchers will therefore be expected to allow individuals to give consent only to certain areas of research or to certain parts of the project. Care should also be taken, where necessary, to document in contracts with third party contributors, the consent obligations which they are required to satisfy.  </w:t>
      </w:r>
    </w:p>
    <w:p w14:paraId="0667C8BC" w14:textId="10CB61AF" w:rsidR="00197F68" w:rsidRDefault="00B07E67" w:rsidP="00EA786E">
      <w:pPr>
        <w:spacing w:after="221"/>
        <w:ind w:left="720" w:right="58" w:firstLine="0"/>
        <w:rPr>
          <w:rFonts w:asciiTheme="minorHAnsi" w:hAnsiTheme="minorHAnsi" w:cstheme="minorBidi"/>
        </w:rPr>
      </w:pPr>
      <w:r w:rsidRPr="1C4AD231">
        <w:rPr>
          <w:rFonts w:asciiTheme="minorHAnsi" w:hAnsiTheme="minorHAnsi" w:cstheme="minorBidi"/>
        </w:rPr>
        <w:t>The GDPR grants individuals a specific right to withdraw consent at any time, and it must be as easy to withdraw consent as to give it. If a research participant were to exercise this right, the research team would be obliged to stop processing that individual’s data, since it would no longer have a lawful basis for processing.</w:t>
      </w:r>
    </w:p>
    <w:p w14:paraId="06C60F3D" w14:textId="63A45F5D" w:rsidR="00197F68" w:rsidRDefault="00B07E67" w:rsidP="007A6C1B">
      <w:pPr>
        <w:pStyle w:val="ListParagraph"/>
        <w:numPr>
          <w:ilvl w:val="1"/>
          <w:numId w:val="11"/>
        </w:numPr>
        <w:spacing w:after="221"/>
        <w:ind w:left="1080" w:right="58"/>
        <w:rPr>
          <w:rFonts w:asciiTheme="minorHAnsi" w:hAnsiTheme="minorHAnsi" w:cstheme="minorBidi"/>
        </w:rPr>
      </w:pPr>
      <w:r w:rsidRPr="33AD9453">
        <w:rPr>
          <w:rFonts w:asciiTheme="minorHAnsi" w:hAnsiTheme="minorHAnsi" w:cstheme="minorBidi"/>
          <w:b/>
        </w:rPr>
        <w:t xml:space="preserve">Legitimate interests </w:t>
      </w:r>
      <w:r w:rsidRPr="33AD9453">
        <w:rPr>
          <w:rFonts w:asciiTheme="minorHAnsi" w:hAnsiTheme="minorHAnsi" w:cstheme="minorBidi"/>
        </w:rPr>
        <w:t xml:space="preserve">- this applies where the processing is necessary for the </w:t>
      </w:r>
      <w:r w:rsidR="666E582E" w:rsidRPr="33AD9453">
        <w:rPr>
          <w:rFonts w:asciiTheme="minorHAnsi" w:hAnsiTheme="minorHAnsi" w:cstheme="minorBidi"/>
        </w:rPr>
        <w:t>university</w:t>
      </w:r>
      <w:r w:rsidRPr="33AD9453">
        <w:rPr>
          <w:rFonts w:asciiTheme="minorHAnsi" w:hAnsiTheme="minorHAnsi" w:cstheme="minorBidi"/>
        </w:rPr>
        <w:t xml:space="preserve">’s legitimate interests or those of a third party, and those interests are not outweighed by the interests and rights of the data subjects. </w:t>
      </w:r>
      <w:proofErr w:type="gramStart"/>
      <w:r w:rsidRPr="33AD9453">
        <w:rPr>
          <w:rFonts w:asciiTheme="minorHAnsi" w:hAnsiTheme="minorHAnsi" w:cstheme="minorBidi"/>
        </w:rPr>
        <w:t xml:space="preserve">As a public authority, the </w:t>
      </w:r>
      <w:r w:rsidR="666E582E" w:rsidRPr="33AD9453">
        <w:rPr>
          <w:rFonts w:asciiTheme="minorHAnsi" w:hAnsiTheme="minorHAnsi" w:cstheme="minorBidi"/>
        </w:rPr>
        <w:t>university</w:t>
      </w:r>
      <w:proofErr w:type="gramEnd"/>
      <w:r w:rsidRPr="33AD9453">
        <w:rPr>
          <w:rFonts w:asciiTheme="minorHAnsi" w:hAnsiTheme="minorHAnsi" w:cstheme="minorBidi"/>
        </w:rPr>
        <w:t xml:space="preserve"> cannot rely on legitimate interests for any processing it does to perform its public interest tasks. However, legitimate interests may be the appropriate legal basis where it would be difficult to demonstrate that the research was necessary to meet a public interest, for example, because the research was funded by a private company and was commercial in nature. The ICO recommends that those considering this basis should undertake a Legitimate Interests Assessment</w:t>
      </w:r>
      <w:hyperlink r:id="rId17">
        <w:r w:rsidRPr="33AD9453">
          <w:rPr>
            <w:rStyle w:val="Hyperlink"/>
            <w:rFonts w:asciiTheme="minorHAnsi" w:hAnsiTheme="minorHAnsi" w:cstheme="minorBidi"/>
          </w:rPr>
          <w:t xml:space="preserve"> (LIA),</w:t>
        </w:r>
      </w:hyperlink>
      <w:r w:rsidRPr="33AD9453">
        <w:rPr>
          <w:rFonts w:asciiTheme="minorHAnsi" w:hAnsiTheme="minorHAnsi" w:cstheme="minorBidi"/>
        </w:rPr>
        <w:t xml:space="preserve"> comprising three parts. The first part involves identifying the legitimate interests in question; the second determining whether the processing of personal data is necessary to meet those interests; and the third determining whether those interests are outweighed by the rights and interests of the research participants.  </w:t>
      </w:r>
    </w:p>
    <w:p w14:paraId="77434C0E" w14:textId="0A126E57" w:rsidR="00197F68" w:rsidRPr="003E5A4B" w:rsidRDefault="00B07E67" w:rsidP="007A6C1B">
      <w:pPr>
        <w:pStyle w:val="Heading4"/>
        <w:numPr>
          <w:ilvl w:val="0"/>
          <w:numId w:val="13"/>
        </w:numPr>
      </w:pPr>
      <w:r w:rsidRPr="003E5A4B">
        <w:t xml:space="preserve">Special category data </w:t>
      </w:r>
    </w:p>
    <w:p w14:paraId="6BC9BE6D" w14:textId="74F41E03" w:rsidR="00197F68" w:rsidRPr="00D472B4" w:rsidRDefault="00A356A7" w:rsidP="004C1E06">
      <w:pPr>
        <w:spacing w:after="221"/>
        <w:ind w:left="1080" w:right="58" w:firstLine="0"/>
        <w:rPr>
          <w:rFonts w:asciiTheme="minorHAnsi" w:hAnsiTheme="minorHAnsi" w:cstheme="minorBidi"/>
        </w:rPr>
      </w:pPr>
      <w:r w:rsidRPr="1C4AD231">
        <w:rPr>
          <w:rFonts w:asciiTheme="minorHAnsi" w:hAnsiTheme="minorHAnsi" w:cstheme="minorBidi"/>
        </w:rPr>
        <w:t xml:space="preserve">Special category data is personal data which the GDPR says is more sensitive, and so needs more protection. In order to lawfully process special category data, you must identify both a lawful basis </w:t>
      </w:r>
      <w:r w:rsidRPr="1C4AD231">
        <w:rPr>
          <w:rFonts w:asciiTheme="minorHAnsi" w:hAnsiTheme="minorHAnsi" w:cstheme="minorBidi"/>
        </w:rPr>
        <w:lastRenderedPageBreak/>
        <w:t>under Article 6 and a separate condition for processing special category data under Article 9</w:t>
      </w:r>
      <w:r w:rsidR="00AD6B32" w:rsidRPr="1C4AD231">
        <w:rPr>
          <w:rFonts w:asciiTheme="minorHAnsi" w:hAnsiTheme="minorHAnsi" w:cstheme="minorBidi"/>
        </w:rPr>
        <w:t xml:space="preserve">. </w:t>
      </w:r>
      <w:r w:rsidR="00B07E67" w:rsidRPr="1C4AD231">
        <w:rPr>
          <w:rFonts w:asciiTheme="minorHAnsi" w:hAnsiTheme="minorHAnsi" w:cstheme="minorBidi"/>
        </w:rPr>
        <w:t xml:space="preserve">To process special category personal data, in addition to identifying a lawful basis for processing, as described above, researchers must satisfy one of a further set of conditions. The conditions most relevant to research projects are: </w:t>
      </w:r>
    </w:p>
    <w:p w14:paraId="2DF60D29" w14:textId="1778CE89" w:rsidR="00197F68" w:rsidRPr="001A72DD" w:rsidRDefault="00B07E67" w:rsidP="007A6C1B">
      <w:pPr>
        <w:pStyle w:val="ListParagraph"/>
        <w:numPr>
          <w:ilvl w:val="0"/>
          <w:numId w:val="12"/>
        </w:numPr>
        <w:spacing w:after="0"/>
        <w:ind w:left="1800" w:right="0" w:hanging="720"/>
        <w:rPr>
          <w:rFonts w:asciiTheme="minorHAnsi" w:hAnsiTheme="minorHAnsi" w:cstheme="minorBidi"/>
        </w:rPr>
      </w:pPr>
      <w:r w:rsidRPr="001A72DD">
        <w:rPr>
          <w:rFonts w:asciiTheme="minorHAnsi" w:hAnsiTheme="minorHAnsi" w:cstheme="minorBidi"/>
          <w:b/>
          <w:bCs/>
        </w:rPr>
        <w:t>Explicit consent</w:t>
      </w:r>
      <w:r w:rsidRPr="001A72DD">
        <w:rPr>
          <w:rFonts w:asciiTheme="minorHAnsi" w:hAnsiTheme="minorHAnsi" w:cstheme="minorBidi"/>
        </w:rPr>
        <w:t xml:space="preserve"> – consent to use special category personal data requires the research team to obtain that consent explicitly. This means that the consent must be provided in the form of an express statement to that effect (‘I consent to my data being processed for….’). As above, data subjects must have the right to withdraw their consent at any time; </w:t>
      </w:r>
    </w:p>
    <w:p w14:paraId="18A6364F" w14:textId="1347BE19" w:rsidR="00197F68" w:rsidRPr="00D472B4" w:rsidRDefault="00197F68" w:rsidP="00C7741A">
      <w:pPr>
        <w:spacing w:after="0"/>
        <w:ind w:left="1620" w:right="0" w:hanging="540"/>
        <w:jc w:val="left"/>
        <w:rPr>
          <w:rFonts w:asciiTheme="minorHAnsi" w:hAnsiTheme="minorHAnsi" w:cstheme="minorBidi"/>
        </w:rPr>
      </w:pPr>
    </w:p>
    <w:p w14:paraId="4B2DCF2D" w14:textId="0717BF5C" w:rsidR="00197F68" w:rsidRPr="001A72DD" w:rsidRDefault="00B07E67" w:rsidP="007A6C1B">
      <w:pPr>
        <w:pStyle w:val="ListParagraph"/>
        <w:numPr>
          <w:ilvl w:val="0"/>
          <w:numId w:val="12"/>
        </w:numPr>
        <w:spacing w:after="0"/>
        <w:ind w:left="1800" w:right="0" w:hanging="720"/>
        <w:rPr>
          <w:rFonts w:asciiTheme="minorHAnsi" w:hAnsiTheme="minorHAnsi" w:cstheme="minorBidi"/>
        </w:rPr>
      </w:pPr>
      <w:r w:rsidRPr="001A72DD">
        <w:rPr>
          <w:rFonts w:asciiTheme="minorHAnsi" w:hAnsiTheme="minorHAnsi" w:cstheme="minorBidi"/>
          <w:b/>
          <w:bCs/>
        </w:rPr>
        <w:t>Self-publication</w:t>
      </w:r>
      <w:r w:rsidRPr="001A72DD">
        <w:rPr>
          <w:rFonts w:asciiTheme="minorHAnsi" w:hAnsiTheme="minorHAnsi" w:cstheme="minorBidi"/>
        </w:rPr>
        <w:t xml:space="preserve"> – this applies where an individual deliberately makes special category personal data about themselves public. By making the information public, the individual has effectively waived their privacy interests in the information, but researchers still need to abide by the duty of fairness as described </w:t>
      </w:r>
      <w:r w:rsidR="65184F00" w:rsidRPr="001A72DD">
        <w:rPr>
          <w:rFonts w:asciiTheme="minorHAnsi" w:hAnsiTheme="minorHAnsi" w:cstheme="minorBidi"/>
        </w:rPr>
        <w:t>within this section</w:t>
      </w:r>
      <w:r w:rsidRPr="001A72DD">
        <w:rPr>
          <w:rFonts w:asciiTheme="minorHAnsi" w:hAnsiTheme="minorHAnsi" w:cstheme="minorBidi"/>
        </w:rPr>
        <w:t xml:space="preserve">; </w:t>
      </w:r>
    </w:p>
    <w:p w14:paraId="27C20E33" w14:textId="03AE0D8B" w:rsidR="00197F68" w:rsidRPr="00D472B4" w:rsidRDefault="00197F68" w:rsidP="00C7741A">
      <w:pPr>
        <w:spacing w:after="0"/>
        <w:ind w:left="1620" w:right="0" w:hanging="540"/>
        <w:jc w:val="left"/>
        <w:rPr>
          <w:rFonts w:asciiTheme="minorHAnsi" w:hAnsiTheme="minorHAnsi" w:cstheme="minorBidi"/>
          <w:b/>
          <w:bCs/>
        </w:rPr>
      </w:pPr>
    </w:p>
    <w:p w14:paraId="23D2DC95" w14:textId="2E7BF537" w:rsidR="00197F68" w:rsidRPr="001A72DD" w:rsidRDefault="00B07E67" w:rsidP="007A6C1B">
      <w:pPr>
        <w:pStyle w:val="ListParagraph"/>
        <w:numPr>
          <w:ilvl w:val="0"/>
          <w:numId w:val="12"/>
        </w:numPr>
        <w:spacing w:after="0"/>
        <w:ind w:left="1800" w:right="0" w:hanging="720"/>
        <w:rPr>
          <w:rFonts w:asciiTheme="minorHAnsi" w:hAnsiTheme="minorHAnsi" w:cstheme="minorBidi"/>
        </w:rPr>
      </w:pPr>
      <w:r w:rsidRPr="001A72DD">
        <w:rPr>
          <w:rFonts w:asciiTheme="minorHAnsi" w:hAnsiTheme="minorHAnsi" w:cstheme="minorBidi"/>
          <w:b/>
        </w:rPr>
        <w:t>Medical purposes</w:t>
      </w:r>
      <w:r w:rsidRPr="001A72DD">
        <w:rPr>
          <w:rFonts w:asciiTheme="minorHAnsi" w:hAnsiTheme="minorHAnsi" w:cstheme="minorBidi"/>
        </w:rPr>
        <w:t xml:space="preserve"> – in this context medical purposes means the purposes of preventative or occupational medicine, the assessment of the working capacity of an employee, medical diagnosis, the provision of health care and treatment, and the management of healthcare services. The condition applies where the processing is pursuant to a contract with a health professional. Researchers should note that health professional is defined narrowly</w:t>
      </w:r>
      <w:r w:rsidR="5CC7E88F" w:rsidRPr="001A72DD">
        <w:rPr>
          <w:rFonts w:asciiTheme="minorHAnsi" w:hAnsiTheme="minorHAnsi" w:cstheme="minorBidi"/>
        </w:rPr>
        <w:t xml:space="preserve"> in </w:t>
      </w:r>
      <w:hyperlink r:id="rId18" w:anchor=":~:text=204Meaning%20of%20%E2%80%9Chealth%20professional%E2%80%9D%20and%20%E2%80%9Csocial%20work%20professional%E2%80%9D&amp;text=(a)a%20registered%20medical%20practitioner,53%20of%20that%20Act)%3B">
        <w:r w:rsidR="5CC7E88F" w:rsidRPr="001A72DD">
          <w:rPr>
            <w:rStyle w:val="Hyperlink"/>
            <w:rFonts w:asciiTheme="minorHAnsi" w:hAnsiTheme="minorHAnsi" w:cstheme="minorBidi"/>
          </w:rPr>
          <w:t>section 204 of the DPA</w:t>
        </w:r>
      </w:hyperlink>
      <w:r w:rsidRPr="001A72DD">
        <w:rPr>
          <w:rStyle w:val="Hyperlink"/>
          <w:rFonts w:asciiTheme="minorHAnsi" w:hAnsiTheme="minorHAnsi" w:cstheme="minorBidi"/>
        </w:rPr>
        <w:t>;</w:t>
      </w:r>
      <w:r w:rsidRPr="001A72DD">
        <w:rPr>
          <w:rFonts w:asciiTheme="minorHAnsi" w:hAnsiTheme="minorHAnsi" w:cstheme="minorBidi"/>
        </w:rPr>
        <w:t xml:space="preserve"> or </w:t>
      </w:r>
    </w:p>
    <w:p w14:paraId="2D1E102E" w14:textId="67F7C560" w:rsidR="1C4AD231" w:rsidRDefault="1C4AD231" w:rsidP="00C7741A">
      <w:pPr>
        <w:spacing w:after="0"/>
        <w:ind w:left="1620" w:right="0" w:hanging="540"/>
        <w:jc w:val="left"/>
        <w:rPr>
          <w:rFonts w:asciiTheme="minorHAnsi" w:hAnsiTheme="minorHAnsi" w:cstheme="minorBidi"/>
        </w:rPr>
      </w:pPr>
    </w:p>
    <w:p w14:paraId="6B65188B" w14:textId="638F6334" w:rsidR="00197F68" w:rsidRPr="001A72DD" w:rsidRDefault="00B07E67" w:rsidP="007A6C1B">
      <w:pPr>
        <w:pStyle w:val="ListParagraph"/>
        <w:numPr>
          <w:ilvl w:val="0"/>
          <w:numId w:val="12"/>
        </w:numPr>
        <w:spacing w:after="232"/>
        <w:ind w:left="1800" w:right="0" w:hanging="720"/>
        <w:rPr>
          <w:rFonts w:asciiTheme="minorHAnsi" w:hAnsiTheme="minorHAnsi" w:cstheme="minorBidi"/>
        </w:rPr>
      </w:pPr>
      <w:r w:rsidRPr="001A72DD">
        <w:rPr>
          <w:rFonts w:asciiTheme="minorHAnsi" w:hAnsiTheme="minorHAnsi" w:cstheme="minorBidi"/>
          <w:b/>
        </w:rPr>
        <w:t xml:space="preserve">Archiving purposes in the public interest, or scientific and historical research purposes or statistical purposes </w:t>
      </w:r>
      <w:r w:rsidRPr="001A72DD">
        <w:rPr>
          <w:rFonts w:asciiTheme="minorHAnsi" w:hAnsiTheme="minorHAnsi" w:cstheme="minorBidi"/>
        </w:rPr>
        <w:t xml:space="preserve">– this will apply so long as technical and organisational measures are in place to provide appropriate safeguards for the rights of research participants, as described on </w:t>
      </w:r>
      <w:bookmarkStart w:id="8" w:name="Bookmark1"/>
      <w:r w:rsidR="00905B1E" w:rsidRPr="001A72DD">
        <w:rPr>
          <w:rFonts w:asciiTheme="minorHAnsi" w:hAnsiTheme="minorHAnsi" w:cstheme="minorBidi"/>
        </w:rPr>
        <w:t>p</w:t>
      </w:r>
      <w:r w:rsidRPr="001A72DD">
        <w:rPr>
          <w:rFonts w:asciiTheme="minorHAnsi" w:hAnsiTheme="minorHAnsi" w:cstheme="minorBidi"/>
        </w:rPr>
        <w:t>ages 11 and 12 belo</w:t>
      </w:r>
      <w:bookmarkEnd w:id="8"/>
      <w:r w:rsidRPr="001A72DD">
        <w:rPr>
          <w:rFonts w:asciiTheme="minorHAnsi" w:hAnsiTheme="minorHAnsi" w:cstheme="minorBidi"/>
        </w:rPr>
        <w:t xml:space="preserve">w, and provided the research is in the public interest. This public interest requirement is separate and beyond that relating to the lawful basis for processing described on page six </w:t>
      </w:r>
      <w:proofErr w:type="gramStart"/>
      <w:r w:rsidRPr="001A72DD">
        <w:rPr>
          <w:rFonts w:asciiTheme="minorHAnsi" w:hAnsiTheme="minorHAnsi" w:cstheme="minorBidi"/>
        </w:rPr>
        <w:t>i.e.</w:t>
      </w:r>
      <w:proofErr w:type="gramEnd"/>
      <w:r w:rsidRPr="001A72DD">
        <w:rPr>
          <w:rFonts w:asciiTheme="minorHAnsi" w:hAnsiTheme="minorHAnsi" w:cstheme="minorBidi"/>
        </w:rPr>
        <w:t xml:space="preserve"> the fact that public interest task is the lawful basis for processing is not sufficient to demonstrate that the processing of special category data is in the public interest.</w:t>
      </w:r>
      <w:r w:rsidRPr="001A72DD">
        <w:rPr>
          <w:rFonts w:asciiTheme="minorHAnsi" w:hAnsiTheme="minorHAnsi" w:cstheme="minorBidi"/>
          <w:b/>
        </w:rPr>
        <w:t xml:space="preserve"> </w:t>
      </w:r>
    </w:p>
    <w:p w14:paraId="046F31D1" w14:textId="335742B8" w:rsidR="00271F84" w:rsidRPr="00D472B4" w:rsidRDefault="00B07E67" w:rsidP="00C7741A">
      <w:pPr>
        <w:spacing w:before="120" w:after="232"/>
        <w:ind w:left="1080" w:right="57" w:firstLine="0"/>
        <w:rPr>
          <w:rFonts w:asciiTheme="minorHAnsi" w:hAnsiTheme="minorHAnsi" w:cstheme="minorBidi"/>
        </w:rPr>
      </w:pPr>
      <w:r w:rsidRPr="1C4AD231">
        <w:rPr>
          <w:rFonts w:asciiTheme="minorHAnsi" w:hAnsiTheme="minorHAnsi" w:cstheme="minorBidi"/>
          <w:b/>
        </w:rPr>
        <w:t>Researchers should note that each of the conditions described above is in addition to any conditions which might be set by the applicable body for ethical review and approval</w:t>
      </w:r>
      <w:r w:rsidRPr="1C4AD231">
        <w:rPr>
          <w:rFonts w:asciiTheme="minorHAnsi" w:hAnsiTheme="minorHAnsi" w:cstheme="minorBidi"/>
        </w:rPr>
        <w:t>. Ethics committees are generally alive to issues of data protection and in many cases their conditions will overlap with those discussed above, but ethics committees do not provide legal advice and cannot waive any obligation arising under the GDPR.</w:t>
      </w:r>
    </w:p>
    <w:p w14:paraId="206B733A" w14:textId="5BE67970" w:rsidR="00197F68" w:rsidRPr="00755359" w:rsidRDefault="00B07E67" w:rsidP="00C7741A">
      <w:pPr>
        <w:spacing w:after="232"/>
        <w:ind w:left="1070" w:right="57" w:firstLine="0"/>
        <w:rPr>
          <w:rFonts w:asciiTheme="minorHAnsi" w:hAnsiTheme="minorHAnsi" w:cstheme="minorBidi"/>
        </w:rPr>
      </w:pPr>
      <w:r w:rsidRPr="33AD9453">
        <w:rPr>
          <w:rFonts w:asciiTheme="minorHAnsi" w:hAnsiTheme="minorHAnsi" w:cstheme="minorBidi"/>
        </w:rPr>
        <w:t xml:space="preserve">Even so, the consideration given to data protection as part of the ethical review process will help to demonstrate the </w:t>
      </w:r>
      <w:r w:rsidR="666E582E" w:rsidRPr="33AD9453">
        <w:rPr>
          <w:rFonts w:asciiTheme="minorHAnsi" w:hAnsiTheme="minorHAnsi" w:cstheme="minorBidi"/>
        </w:rPr>
        <w:t>university</w:t>
      </w:r>
      <w:r w:rsidRPr="33AD9453">
        <w:rPr>
          <w:rFonts w:asciiTheme="minorHAnsi" w:hAnsiTheme="minorHAnsi" w:cstheme="minorBidi"/>
        </w:rPr>
        <w:t xml:space="preserve">’s compliance with the GDPR, and in particular the need to embed data protection requirements into processing activities (‘privacy by design’). </w:t>
      </w:r>
    </w:p>
    <w:p w14:paraId="55302CBE" w14:textId="22D93DE6" w:rsidR="00197F68" w:rsidRPr="00362FD0" w:rsidRDefault="00DB5167" w:rsidP="00444A8F">
      <w:pPr>
        <w:pStyle w:val="Heading3"/>
        <w:ind w:left="1440" w:hanging="720"/>
        <w:jc w:val="both"/>
      </w:pPr>
      <w:r>
        <w:t>F</w:t>
      </w:r>
      <w:r w:rsidR="00B16605">
        <w:t>1.1.</w:t>
      </w:r>
      <w:r w:rsidR="00444A8F">
        <w:t>2</w:t>
      </w:r>
      <w:r w:rsidR="00444A8F">
        <w:tab/>
      </w:r>
      <w:r w:rsidR="00B07E67" w:rsidRPr="00362FD0">
        <w:t>Lawful - selecting a lawful basis for the processing of personal data an</w:t>
      </w:r>
      <w:r w:rsidR="00A8493F" w:rsidRPr="00362FD0">
        <w:t>d</w:t>
      </w:r>
      <w:r w:rsidR="00B07E67" w:rsidRPr="00362FD0">
        <w:t xml:space="preserve"> an additional condition for the processing of special category data </w:t>
      </w:r>
    </w:p>
    <w:p w14:paraId="06C946DD" w14:textId="120513D9" w:rsidR="005C6B44" w:rsidRDefault="00B07E67" w:rsidP="00D550DB">
      <w:pPr>
        <w:spacing w:after="234"/>
        <w:ind w:left="720" w:right="58" w:firstLine="0"/>
        <w:rPr>
          <w:rFonts w:asciiTheme="minorHAnsi" w:hAnsiTheme="minorHAnsi" w:cstheme="minorBidi"/>
        </w:rPr>
      </w:pPr>
      <w:r w:rsidRPr="33AD9453">
        <w:rPr>
          <w:rFonts w:asciiTheme="minorHAnsi" w:hAnsiTheme="minorHAnsi" w:cstheme="minorBidi"/>
        </w:rPr>
        <w:t>In view of the potential difficulties that researchers may have satisfying the higher standard of consent required under the GDPR, and the need to respect its withdrawal, the University recommends</w:t>
      </w:r>
      <w:r w:rsidRPr="33AD9453">
        <w:rPr>
          <w:rFonts w:asciiTheme="minorHAnsi" w:hAnsiTheme="minorHAnsi" w:cstheme="minorBidi"/>
          <w:b/>
        </w:rPr>
        <w:t xml:space="preserve"> </w:t>
      </w:r>
      <w:r w:rsidR="00570CE9" w:rsidRPr="33AD9453">
        <w:rPr>
          <w:rFonts w:asciiTheme="minorHAnsi" w:hAnsiTheme="minorHAnsi" w:cstheme="minorBidi"/>
        </w:rPr>
        <w:t>that researchers</w:t>
      </w:r>
      <w:r w:rsidRPr="33AD9453">
        <w:rPr>
          <w:rFonts w:asciiTheme="minorHAnsi" w:hAnsiTheme="minorHAnsi" w:cstheme="minorBidi"/>
        </w:rPr>
        <w:t xml:space="preserve"> should not seek to rely on consent as their legal basis for the processing of personal data. </w:t>
      </w:r>
    </w:p>
    <w:p w14:paraId="34316977" w14:textId="6F451447" w:rsidR="00197F68" w:rsidRPr="00755359" w:rsidRDefault="00B07E67" w:rsidP="00D550DB">
      <w:pPr>
        <w:spacing w:after="234"/>
        <w:ind w:left="720" w:right="58" w:firstLine="0"/>
        <w:rPr>
          <w:rFonts w:asciiTheme="minorHAnsi" w:hAnsiTheme="minorHAnsi" w:cstheme="minorBidi"/>
        </w:rPr>
      </w:pPr>
      <w:r w:rsidRPr="1C4AD231">
        <w:rPr>
          <w:rFonts w:asciiTheme="minorHAnsi" w:hAnsiTheme="minorHAnsi" w:cstheme="minorBidi"/>
        </w:rPr>
        <w:t xml:space="preserve">For the same reason, it is recommended that researchers should not select explicit consent as their additional condition for legitimating the processing of special category data. Rather, it </w:t>
      </w:r>
      <w:proofErr w:type="gramStart"/>
      <w:r w:rsidRPr="1C4AD231">
        <w:rPr>
          <w:rFonts w:asciiTheme="minorHAnsi" w:hAnsiTheme="minorHAnsi" w:cstheme="minorBidi"/>
        </w:rPr>
        <w:t xml:space="preserve">is </w:t>
      </w:r>
      <w:r w:rsidR="008D1032">
        <w:t xml:space="preserve"> </w:t>
      </w:r>
      <w:r w:rsidRPr="1C4AD231">
        <w:rPr>
          <w:rFonts w:asciiTheme="minorHAnsi" w:hAnsiTheme="minorHAnsi" w:cstheme="minorBidi"/>
        </w:rPr>
        <w:t>recommended</w:t>
      </w:r>
      <w:proofErr w:type="gramEnd"/>
      <w:r w:rsidRPr="1C4AD231">
        <w:rPr>
          <w:rFonts w:asciiTheme="minorHAnsi" w:hAnsiTheme="minorHAnsi" w:cstheme="minorBidi"/>
        </w:rPr>
        <w:t xml:space="preserve"> that researchers should rely on public interest task as the legal basis for the processing of personal data; and research (paragraph d) above) as the additional condition for the processing of special category data.</w:t>
      </w:r>
    </w:p>
    <w:p w14:paraId="2612F6EB" w14:textId="11C546B6" w:rsidR="00271F84" w:rsidRDefault="00B07E67" w:rsidP="00D550DB">
      <w:pPr>
        <w:spacing w:after="272"/>
        <w:ind w:left="730" w:right="58" w:firstLine="0"/>
        <w:rPr>
          <w:rFonts w:asciiTheme="minorHAnsi" w:hAnsiTheme="minorHAnsi" w:cstheme="minorBidi"/>
        </w:rPr>
      </w:pPr>
      <w:r w:rsidRPr="1C4AD231">
        <w:rPr>
          <w:rFonts w:asciiTheme="minorHAnsi" w:hAnsiTheme="minorHAnsi" w:cstheme="minorBidi"/>
        </w:rPr>
        <w:t xml:space="preserve">There will continue to be a need to seek consent from participants in research in order to satisfy ethical considerations, but this will be separate from, and in addition to, the requirement under the GDPR to identify a lawful basis for the processing of personal data and to meet a condition for the processing </w:t>
      </w:r>
      <w:r w:rsidRPr="1C4AD231">
        <w:rPr>
          <w:rFonts w:asciiTheme="minorHAnsi" w:hAnsiTheme="minorHAnsi" w:cstheme="minorBidi"/>
        </w:rPr>
        <w:lastRenderedPageBreak/>
        <w:t xml:space="preserve">of special category data. How the consent is sought in such cases will depend on the nature of the project. </w:t>
      </w:r>
    </w:p>
    <w:p w14:paraId="74D7A810" w14:textId="7CFF97EE" w:rsidR="00D5587C" w:rsidRDefault="00B07E67" w:rsidP="00D550DB">
      <w:pPr>
        <w:spacing w:after="272"/>
        <w:ind w:left="730" w:right="58" w:firstLine="0"/>
        <w:rPr>
          <w:rFonts w:asciiTheme="minorHAnsi" w:hAnsiTheme="minorHAnsi" w:cstheme="minorBidi"/>
        </w:rPr>
      </w:pPr>
      <w:r w:rsidRPr="1C4AD231">
        <w:rPr>
          <w:rFonts w:asciiTheme="minorHAnsi" w:hAnsiTheme="minorHAnsi" w:cstheme="minorBidi"/>
        </w:rPr>
        <w:t xml:space="preserve">For small-scale projects that do not involve data of a sensitive nature, </w:t>
      </w:r>
      <w:r w:rsidR="0022234A" w:rsidRPr="1C4AD231">
        <w:rPr>
          <w:rFonts w:asciiTheme="minorHAnsi" w:hAnsiTheme="minorHAnsi" w:cstheme="minorBidi"/>
        </w:rPr>
        <w:t xml:space="preserve">you are required </w:t>
      </w:r>
      <w:r w:rsidRPr="1C4AD231">
        <w:rPr>
          <w:rFonts w:asciiTheme="minorHAnsi" w:hAnsiTheme="minorHAnsi" w:cstheme="minorBidi"/>
        </w:rPr>
        <w:t>to use an opt-</w:t>
      </w:r>
      <w:r w:rsidR="0022234A" w:rsidRPr="1C4AD231">
        <w:rPr>
          <w:rFonts w:asciiTheme="minorHAnsi" w:hAnsiTheme="minorHAnsi" w:cstheme="minorBidi"/>
        </w:rPr>
        <w:t>in</w:t>
      </w:r>
      <w:r w:rsidRPr="1C4AD231">
        <w:rPr>
          <w:rFonts w:asciiTheme="minorHAnsi" w:hAnsiTheme="minorHAnsi" w:cstheme="minorBidi"/>
        </w:rPr>
        <w:t xml:space="preserve"> approach to obtain consent from participants</w:t>
      </w:r>
      <w:r w:rsidR="0022234A" w:rsidRPr="1C4AD231">
        <w:rPr>
          <w:rFonts w:asciiTheme="minorHAnsi" w:hAnsiTheme="minorHAnsi" w:cstheme="minorBidi"/>
        </w:rPr>
        <w:t xml:space="preserve"> to ensure </w:t>
      </w:r>
      <w:r w:rsidRPr="1C4AD231">
        <w:rPr>
          <w:rFonts w:asciiTheme="minorHAnsi" w:hAnsiTheme="minorHAnsi" w:cstheme="minorBidi"/>
        </w:rPr>
        <w:t>they have been given adequate information</w:t>
      </w:r>
      <w:r w:rsidR="00BA66DA">
        <w:rPr>
          <w:rFonts w:asciiTheme="minorHAnsi" w:hAnsiTheme="minorHAnsi" w:cstheme="minorBidi"/>
        </w:rPr>
        <w:t xml:space="preserve"> </w:t>
      </w:r>
      <w:r w:rsidRPr="1C4AD231">
        <w:rPr>
          <w:rFonts w:asciiTheme="minorHAnsi" w:hAnsiTheme="minorHAnsi" w:cstheme="minorBidi"/>
        </w:rPr>
        <w:t xml:space="preserve">about the use of their data, in accordance with the enhanced transparency requirements outlined below. </w:t>
      </w:r>
    </w:p>
    <w:p w14:paraId="66A7B80B" w14:textId="116D6BED" w:rsidR="00197F68" w:rsidRDefault="00B07E67" w:rsidP="00D550DB">
      <w:pPr>
        <w:spacing w:after="272"/>
        <w:ind w:left="730" w:right="58" w:firstLine="0"/>
        <w:rPr>
          <w:rFonts w:asciiTheme="minorHAnsi" w:hAnsiTheme="minorHAnsi" w:cstheme="minorBidi"/>
        </w:rPr>
      </w:pPr>
      <w:r w:rsidRPr="469E9F8D">
        <w:rPr>
          <w:rFonts w:asciiTheme="minorHAnsi" w:hAnsiTheme="minorHAnsi" w:cstheme="minorBidi"/>
        </w:rPr>
        <w:t xml:space="preserve">For larger projects and/or for those involving special category data, </w:t>
      </w:r>
      <w:r w:rsidR="0022234A" w:rsidRPr="469E9F8D">
        <w:rPr>
          <w:rFonts w:asciiTheme="minorHAnsi" w:hAnsiTheme="minorHAnsi" w:cstheme="minorBidi"/>
        </w:rPr>
        <w:t>you must ensure you</w:t>
      </w:r>
      <w:r w:rsidRPr="469E9F8D">
        <w:rPr>
          <w:rFonts w:asciiTheme="minorHAnsi" w:hAnsiTheme="minorHAnsi" w:cstheme="minorBidi"/>
        </w:rPr>
        <w:t xml:space="preserve"> seek positive, opt-in consent, even where consent is not the legal basis for processing. </w:t>
      </w:r>
      <w:r w:rsidR="0022234A" w:rsidRPr="33AD9453">
        <w:rPr>
          <w:rFonts w:asciiTheme="minorHAnsi" w:hAnsiTheme="minorHAnsi" w:cstheme="minorBidi"/>
        </w:rPr>
        <w:t>T</w:t>
      </w:r>
      <w:r w:rsidRPr="33AD9453">
        <w:rPr>
          <w:rFonts w:asciiTheme="minorHAnsi" w:hAnsiTheme="minorHAnsi" w:cstheme="minorBidi"/>
        </w:rPr>
        <w:t xml:space="preserve">he wording of such consent should not </w:t>
      </w:r>
      <w:r w:rsidR="525A44FD" w:rsidRPr="33AD9453">
        <w:rPr>
          <w:rFonts w:asciiTheme="minorHAnsi" w:hAnsiTheme="minorHAnsi" w:cstheme="minorBidi"/>
        </w:rPr>
        <w:t>conf</w:t>
      </w:r>
      <w:r w:rsidR="28549B81" w:rsidRPr="33AD9453">
        <w:rPr>
          <w:rFonts w:asciiTheme="minorHAnsi" w:hAnsiTheme="minorHAnsi" w:cstheme="minorBidi"/>
        </w:rPr>
        <w:t>lict</w:t>
      </w:r>
      <w:r w:rsidR="525A44FD" w:rsidRPr="33AD9453">
        <w:rPr>
          <w:rFonts w:asciiTheme="minorHAnsi" w:hAnsiTheme="minorHAnsi" w:cstheme="minorBidi"/>
        </w:rPr>
        <w:t xml:space="preserve"> </w:t>
      </w:r>
      <w:r w:rsidR="300F5F65" w:rsidRPr="33AD9453">
        <w:rPr>
          <w:rFonts w:asciiTheme="minorHAnsi" w:hAnsiTheme="minorHAnsi" w:cstheme="minorBidi"/>
        </w:rPr>
        <w:t>with</w:t>
      </w:r>
      <w:r w:rsidRPr="33AD9453">
        <w:rPr>
          <w:rFonts w:asciiTheme="minorHAnsi" w:hAnsiTheme="minorHAnsi" w:cstheme="minorBidi"/>
        </w:rPr>
        <w:t xml:space="preserve"> the issues of consent to participate in the project and “consent” to the </w:t>
      </w:r>
      <w:r w:rsidR="666E582E" w:rsidRPr="33AD9453">
        <w:rPr>
          <w:rFonts w:asciiTheme="minorHAnsi" w:hAnsiTheme="minorHAnsi" w:cstheme="minorBidi"/>
        </w:rPr>
        <w:t>university</w:t>
      </w:r>
      <w:r w:rsidRPr="33AD9453">
        <w:rPr>
          <w:rFonts w:asciiTheme="minorHAnsi" w:hAnsiTheme="minorHAnsi" w:cstheme="minorBidi"/>
        </w:rPr>
        <w:t>’s use of personal data under the GDPR.</w:t>
      </w:r>
      <w:r w:rsidRPr="469E9F8D">
        <w:rPr>
          <w:rFonts w:asciiTheme="minorHAnsi" w:hAnsiTheme="minorHAnsi" w:cstheme="minorBidi"/>
        </w:rPr>
        <w:t xml:space="preserve"> </w:t>
      </w:r>
      <w:r w:rsidR="1E6E698F" w:rsidRPr="33AD9453">
        <w:rPr>
          <w:rFonts w:asciiTheme="minorHAnsi" w:hAnsiTheme="minorHAnsi" w:cstheme="minorBidi"/>
        </w:rPr>
        <w:t xml:space="preserve">  The </w:t>
      </w:r>
      <w:hyperlink r:id="rId19">
        <w:r w:rsidR="1E6E698F" w:rsidRPr="33AD9453">
          <w:rPr>
            <w:rStyle w:val="Hyperlink"/>
            <w:rFonts w:asciiTheme="minorHAnsi" w:hAnsiTheme="minorHAnsi" w:cstheme="minorBidi"/>
          </w:rPr>
          <w:t>UKDS provide a model form</w:t>
        </w:r>
      </w:hyperlink>
      <w:r w:rsidR="1E6E698F" w:rsidRPr="33AD9453">
        <w:rPr>
          <w:rFonts w:asciiTheme="minorHAnsi" w:hAnsiTheme="minorHAnsi" w:cstheme="minorBidi"/>
        </w:rPr>
        <w:t xml:space="preserve"> for obtaining consent</w:t>
      </w:r>
      <w:r w:rsidR="4761241E" w:rsidRPr="33AD9453">
        <w:rPr>
          <w:rFonts w:asciiTheme="minorHAnsi" w:hAnsiTheme="minorHAnsi" w:cstheme="minorBidi"/>
        </w:rPr>
        <w:t xml:space="preserve"> and Leeds Beckett </w:t>
      </w:r>
      <w:r w:rsidR="666E582E" w:rsidRPr="33AD9453">
        <w:rPr>
          <w:rFonts w:asciiTheme="minorHAnsi" w:hAnsiTheme="minorHAnsi" w:cstheme="minorBidi"/>
        </w:rPr>
        <w:t>University</w:t>
      </w:r>
      <w:r w:rsidR="4761241E" w:rsidRPr="33AD9453">
        <w:rPr>
          <w:rFonts w:asciiTheme="minorHAnsi" w:hAnsiTheme="minorHAnsi" w:cstheme="minorBidi"/>
        </w:rPr>
        <w:t xml:space="preserve"> have a template which can used </w:t>
      </w:r>
      <w:r w:rsidR="007A61C4">
        <w:rPr>
          <w:rFonts w:asciiTheme="minorHAnsi" w:hAnsiTheme="minorHAnsi" w:cstheme="minorBidi"/>
        </w:rPr>
        <w:t>please see the Appendix B</w:t>
      </w:r>
      <w:r w:rsidR="4761241E" w:rsidRPr="33AD9453">
        <w:rPr>
          <w:rFonts w:asciiTheme="minorHAnsi" w:hAnsiTheme="minorHAnsi" w:cstheme="minorBidi"/>
        </w:rPr>
        <w:t>. F</w:t>
      </w:r>
      <w:r w:rsidR="44FE5B38" w:rsidRPr="33AD9453">
        <w:rPr>
          <w:rFonts w:asciiTheme="minorHAnsi" w:hAnsiTheme="minorHAnsi" w:cstheme="minorBidi"/>
        </w:rPr>
        <w:t xml:space="preserve">urther information on obtaining consent can be found on the </w:t>
      </w:r>
      <w:r w:rsidR="5A76F33B" w:rsidRPr="33AD9453">
        <w:rPr>
          <w:rFonts w:asciiTheme="minorHAnsi" w:hAnsiTheme="minorHAnsi" w:cstheme="minorBidi"/>
        </w:rPr>
        <w:t>Medical Research Council Toolkit</w:t>
      </w:r>
      <w:r w:rsidR="44FE5B38" w:rsidRPr="33AD9453">
        <w:rPr>
          <w:rFonts w:asciiTheme="minorHAnsi" w:hAnsiTheme="minorHAnsi" w:cstheme="minorBidi"/>
        </w:rPr>
        <w:t xml:space="preserve"> </w:t>
      </w:r>
      <w:hyperlink r:id="rId20">
        <w:r w:rsidR="44FE5B38" w:rsidRPr="33AD9453">
          <w:rPr>
            <w:rStyle w:val="Hyperlink"/>
            <w:rFonts w:asciiTheme="minorHAnsi" w:hAnsiTheme="minorHAnsi" w:cstheme="minorBidi"/>
          </w:rPr>
          <w:t>here.</w:t>
        </w:r>
      </w:hyperlink>
    </w:p>
    <w:p w14:paraId="032073D9" w14:textId="3FECDFE6" w:rsidR="00CF55C3" w:rsidRPr="00362FD0" w:rsidRDefault="00DB5167" w:rsidP="00961F16">
      <w:pPr>
        <w:pStyle w:val="Heading3"/>
      </w:pPr>
      <w:r>
        <w:t>F</w:t>
      </w:r>
      <w:r w:rsidR="00B16605">
        <w:t>1.1.</w:t>
      </w:r>
      <w:r w:rsidR="00444A8F">
        <w:t>3</w:t>
      </w:r>
      <w:r>
        <w:tab/>
      </w:r>
      <w:r w:rsidR="00CF55C3" w:rsidRPr="1C4AD231">
        <w:t xml:space="preserve">Fair processing </w:t>
      </w:r>
    </w:p>
    <w:p w14:paraId="0F08F9D7" w14:textId="51338FBF" w:rsidR="00CF55C3" w:rsidRPr="00755359" w:rsidRDefault="00CF55C3" w:rsidP="1C4AD231">
      <w:pPr>
        <w:spacing w:after="275"/>
        <w:ind w:left="720" w:right="58"/>
        <w:rPr>
          <w:rFonts w:asciiTheme="minorHAnsi" w:hAnsiTheme="minorHAnsi" w:cstheme="minorBidi"/>
        </w:rPr>
      </w:pPr>
      <w:r w:rsidRPr="1C4AD231">
        <w:rPr>
          <w:rFonts w:asciiTheme="minorHAnsi" w:hAnsiTheme="minorHAnsi" w:cstheme="minorBidi"/>
        </w:rPr>
        <w:t xml:space="preserve">‘Fair’ processing requires researchers to consider more generally how their use of personal data affects the interests of the individuals to whom it relates. In circumstances where your use may cause detriment to an individual, you need to consider whether or not that detriment is justified. Fairness is naturally linked also to the transparency of the processing and the ability of the individual to object.  </w:t>
      </w:r>
      <w:r w:rsidR="3BE18F37" w:rsidRPr="1C4AD231">
        <w:rPr>
          <w:rFonts w:asciiTheme="minorHAnsi" w:hAnsiTheme="minorHAnsi" w:cstheme="minorBidi"/>
        </w:rPr>
        <w:t xml:space="preserve"> </w:t>
      </w:r>
    </w:p>
    <w:p w14:paraId="4B4C7894" w14:textId="1F0C7D19" w:rsidR="00197F68" w:rsidRPr="00362FD0" w:rsidRDefault="00DB5167" w:rsidP="00961F16">
      <w:pPr>
        <w:pStyle w:val="Heading3"/>
      </w:pPr>
      <w:r>
        <w:t>F</w:t>
      </w:r>
      <w:r w:rsidR="00B16605">
        <w:t>1.1.</w:t>
      </w:r>
      <w:r w:rsidR="00444A8F">
        <w:t>4</w:t>
      </w:r>
      <w:r>
        <w:tab/>
      </w:r>
      <w:r w:rsidR="00B07E67" w:rsidRPr="3C548027">
        <w:t>Transparent processing</w:t>
      </w:r>
    </w:p>
    <w:p w14:paraId="4FBAA5E6" w14:textId="47F8ED5B" w:rsidR="00197F68" w:rsidRPr="00362FD0" w:rsidRDefault="00B07E67" w:rsidP="007A6C1B">
      <w:pPr>
        <w:pStyle w:val="Heading4"/>
        <w:numPr>
          <w:ilvl w:val="0"/>
          <w:numId w:val="14"/>
        </w:numPr>
      </w:pPr>
      <w:r w:rsidRPr="1C4AD231">
        <w:t xml:space="preserve">Data obtained direct from the participants </w:t>
      </w:r>
    </w:p>
    <w:p w14:paraId="467B441E" w14:textId="09E108F3" w:rsidR="00197F68" w:rsidRPr="00755359" w:rsidRDefault="00B07E67" w:rsidP="006B00A1">
      <w:pPr>
        <w:spacing w:after="221"/>
        <w:ind w:left="1080" w:right="58" w:firstLine="0"/>
        <w:rPr>
          <w:rFonts w:asciiTheme="minorHAnsi" w:hAnsiTheme="minorHAnsi" w:cstheme="minorBidi"/>
        </w:rPr>
      </w:pPr>
      <w:r w:rsidRPr="469E9F8D">
        <w:rPr>
          <w:rFonts w:asciiTheme="minorHAnsi" w:hAnsiTheme="minorHAnsi" w:cstheme="minorBidi"/>
        </w:rPr>
        <w:t xml:space="preserve">When you are collecting personal data from the individuals concerned (or, in the case of research involving </w:t>
      </w:r>
      <w:r w:rsidR="77B4B216" w:rsidRPr="28AC0ED7">
        <w:rPr>
          <w:rFonts w:asciiTheme="minorHAnsi" w:hAnsiTheme="minorHAnsi" w:cstheme="minorBidi"/>
        </w:rPr>
        <w:t>(</w:t>
      </w:r>
      <w:r w:rsidR="77B4B216" w:rsidRPr="02F6340E">
        <w:rPr>
          <w:rFonts w:asciiTheme="minorHAnsi" w:hAnsiTheme="minorHAnsi" w:cstheme="minorBidi"/>
        </w:rPr>
        <w:t xml:space="preserve">vulnerable </w:t>
      </w:r>
      <w:r w:rsidR="77B4B216" w:rsidRPr="25824EED">
        <w:rPr>
          <w:rFonts w:asciiTheme="minorHAnsi" w:hAnsiTheme="minorHAnsi" w:cstheme="minorBidi"/>
        </w:rPr>
        <w:t xml:space="preserve">individuals, </w:t>
      </w:r>
      <w:r w:rsidRPr="115267E7">
        <w:rPr>
          <w:rFonts w:asciiTheme="minorHAnsi" w:hAnsiTheme="minorHAnsi" w:cstheme="minorBidi"/>
        </w:rPr>
        <w:t>children</w:t>
      </w:r>
      <w:r w:rsidRPr="469E9F8D">
        <w:rPr>
          <w:rFonts w:asciiTheme="minorHAnsi" w:hAnsiTheme="minorHAnsi" w:cstheme="minorBidi"/>
        </w:rPr>
        <w:t xml:space="preserve">, from their parents or guardians), you need to be clear, </w:t>
      </w:r>
      <w:proofErr w:type="gramStart"/>
      <w:r w:rsidRPr="469E9F8D">
        <w:rPr>
          <w:rFonts w:asciiTheme="minorHAnsi" w:hAnsiTheme="minorHAnsi" w:cstheme="minorBidi"/>
        </w:rPr>
        <w:t>open</w:t>
      </w:r>
      <w:proofErr w:type="gramEnd"/>
      <w:r w:rsidRPr="469E9F8D">
        <w:rPr>
          <w:rFonts w:asciiTheme="minorHAnsi" w:hAnsiTheme="minorHAnsi" w:cstheme="minorBidi"/>
        </w:rPr>
        <w:t xml:space="preserve"> and transparent with those individuals, by setting out what you intend to do with their data. Specifically, the GDPR requires that you provide them with the following information (this is known as the </w:t>
      </w:r>
      <w:r w:rsidRPr="469E9F8D">
        <w:rPr>
          <w:rFonts w:asciiTheme="minorHAnsi" w:hAnsiTheme="minorHAnsi" w:cstheme="minorBidi"/>
          <w:b/>
        </w:rPr>
        <w:t>prescribed information</w:t>
      </w:r>
      <w:r w:rsidRPr="469E9F8D">
        <w:rPr>
          <w:rFonts w:asciiTheme="minorHAnsi" w:hAnsiTheme="minorHAnsi" w:cstheme="minorBidi"/>
        </w:rPr>
        <w:t xml:space="preserve">):  </w:t>
      </w:r>
    </w:p>
    <w:p w14:paraId="01F10B65" w14:textId="336CE916" w:rsidR="00197F68" w:rsidRPr="00D5587C" w:rsidRDefault="00B07E67" w:rsidP="007A6C1B">
      <w:pPr>
        <w:pStyle w:val="ListParagraph"/>
        <w:numPr>
          <w:ilvl w:val="0"/>
          <w:numId w:val="10"/>
        </w:numPr>
        <w:spacing w:after="259"/>
        <w:ind w:left="1418" w:right="58"/>
        <w:rPr>
          <w:rFonts w:asciiTheme="minorHAnsi" w:hAnsiTheme="minorHAnsi" w:cstheme="minorBidi"/>
        </w:rPr>
      </w:pPr>
      <w:r w:rsidRPr="33AD9453">
        <w:rPr>
          <w:rFonts w:asciiTheme="minorHAnsi" w:hAnsiTheme="minorHAnsi" w:cstheme="minorBidi"/>
        </w:rPr>
        <w:t>the name of the data controller(s) (</w:t>
      </w:r>
      <w:proofErr w:type="gramStart"/>
      <w:r w:rsidRPr="33AD9453">
        <w:rPr>
          <w:rFonts w:asciiTheme="minorHAnsi" w:hAnsiTheme="minorHAnsi" w:cstheme="minorBidi"/>
        </w:rPr>
        <w:t>i.e.</w:t>
      </w:r>
      <w:proofErr w:type="gramEnd"/>
      <w:r w:rsidRPr="33AD9453">
        <w:rPr>
          <w:rFonts w:asciiTheme="minorHAnsi" w:hAnsiTheme="minorHAnsi" w:cstheme="minorBidi"/>
        </w:rPr>
        <w:t xml:space="preserve"> the </w:t>
      </w:r>
      <w:r w:rsidR="666E582E" w:rsidRPr="33AD9453">
        <w:rPr>
          <w:rFonts w:asciiTheme="minorHAnsi" w:hAnsiTheme="minorHAnsi" w:cstheme="minorBidi"/>
        </w:rPr>
        <w:t>university</w:t>
      </w:r>
      <w:r w:rsidRPr="33AD9453">
        <w:rPr>
          <w:rFonts w:asciiTheme="minorHAnsi" w:hAnsiTheme="minorHAnsi" w:cstheme="minorBidi"/>
        </w:rPr>
        <w:t xml:space="preserve"> and any co- or joint data controllers if relevant) and the contact details of the data protection officer; </w:t>
      </w:r>
    </w:p>
    <w:p w14:paraId="174EC2AA" w14:textId="77777777" w:rsidR="00197F68" w:rsidRPr="00D5587C" w:rsidRDefault="00B07E67" w:rsidP="007A6C1B">
      <w:pPr>
        <w:pStyle w:val="ListParagraph"/>
        <w:numPr>
          <w:ilvl w:val="0"/>
          <w:numId w:val="10"/>
        </w:numPr>
        <w:spacing w:after="241"/>
        <w:ind w:left="1418" w:right="58"/>
        <w:rPr>
          <w:rFonts w:asciiTheme="minorHAnsi" w:hAnsiTheme="minorHAnsi" w:cstheme="minorBidi"/>
        </w:rPr>
      </w:pPr>
      <w:r w:rsidRPr="1C4AD231">
        <w:rPr>
          <w:rFonts w:asciiTheme="minorHAnsi" w:hAnsiTheme="minorHAnsi" w:cstheme="minorBidi"/>
        </w:rPr>
        <w:t xml:space="preserve">the purposes for which the data are intended to be processed,  </w:t>
      </w:r>
    </w:p>
    <w:p w14:paraId="438EA43D" w14:textId="5D571841" w:rsidR="00197F68" w:rsidRPr="00D5587C" w:rsidRDefault="00B07E67" w:rsidP="007A6C1B">
      <w:pPr>
        <w:pStyle w:val="ListParagraph"/>
        <w:numPr>
          <w:ilvl w:val="0"/>
          <w:numId w:val="10"/>
        </w:numPr>
        <w:spacing w:after="241"/>
        <w:ind w:left="1418" w:right="58"/>
        <w:rPr>
          <w:rFonts w:asciiTheme="minorHAnsi" w:hAnsiTheme="minorHAnsi" w:cstheme="minorBidi"/>
        </w:rPr>
      </w:pPr>
      <w:r w:rsidRPr="44087BB5">
        <w:rPr>
          <w:rFonts w:asciiTheme="minorHAnsi" w:hAnsiTheme="minorHAnsi" w:cstheme="minorBidi"/>
        </w:rPr>
        <w:t>the legal basis for processing;</w:t>
      </w:r>
    </w:p>
    <w:p w14:paraId="523F96A5" w14:textId="77777777" w:rsidR="00197F68" w:rsidRPr="00D5587C" w:rsidRDefault="00B07E67" w:rsidP="007A6C1B">
      <w:pPr>
        <w:pStyle w:val="ListParagraph"/>
        <w:numPr>
          <w:ilvl w:val="0"/>
          <w:numId w:val="10"/>
        </w:numPr>
        <w:spacing w:after="261"/>
        <w:ind w:left="1418" w:right="58"/>
        <w:rPr>
          <w:rFonts w:asciiTheme="minorHAnsi" w:hAnsiTheme="minorHAnsi" w:cstheme="minorBidi"/>
        </w:rPr>
      </w:pPr>
      <w:r w:rsidRPr="1C4AD231">
        <w:rPr>
          <w:rFonts w:asciiTheme="minorHAnsi" w:hAnsiTheme="minorHAnsi" w:cstheme="minorBidi"/>
        </w:rPr>
        <w:t xml:space="preserve">the intended recipients or categories of recipients with whom the data are to be, or may be, shared;  </w:t>
      </w:r>
    </w:p>
    <w:p w14:paraId="6C8313A7" w14:textId="4B944F46" w:rsidR="00197F68" w:rsidRPr="00D5587C" w:rsidRDefault="00B07E67" w:rsidP="007A6C1B">
      <w:pPr>
        <w:pStyle w:val="ListParagraph"/>
        <w:numPr>
          <w:ilvl w:val="0"/>
          <w:numId w:val="10"/>
        </w:numPr>
        <w:spacing w:after="261"/>
        <w:ind w:left="1418" w:right="58"/>
        <w:rPr>
          <w:rFonts w:asciiTheme="minorHAnsi" w:hAnsiTheme="minorHAnsi" w:cstheme="minorBidi"/>
        </w:rPr>
      </w:pPr>
      <w:r w:rsidRPr="1C4AD231">
        <w:rPr>
          <w:rFonts w:asciiTheme="minorHAnsi" w:hAnsiTheme="minorHAnsi" w:cstheme="minorBidi"/>
        </w:rPr>
        <w:t>if applicable, the fact that the data shall be transferred outside of the European Economic Area (the “</w:t>
      </w:r>
      <w:r w:rsidRPr="1C4AD231">
        <w:rPr>
          <w:rFonts w:asciiTheme="minorHAnsi" w:hAnsiTheme="minorHAnsi" w:cstheme="minorBidi"/>
          <w:b/>
        </w:rPr>
        <w:t>EEA</w:t>
      </w:r>
      <w:r w:rsidRPr="1C4AD231">
        <w:rPr>
          <w:rFonts w:asciiTheme="minorHAnsi" w:hAnsiTheme="minorHAnsi" w:cstheme="minorBidi"/>
        </w:rPr>
        <w:t xml:space="preserve">”) and the safeguards that will apply to that transfer;  </w:t>
      </w:r>
    </w:p>
    <w:p w14:paraId="7B95D417" w14:textId="777B1DF7" w:rsidR="00197F68" w:rsidRPr="00D5587C" w:rsidRDefault="00B07E67" w:rsidP="007A6C1B">
      <w:pPr>
        <w:pStyle w:val="ListParagraph"/>
        <w:numPr>
          <w:ilvl w:val="0"/>
          <w:numId w:val="10"/>
        </w:numPr>
        <w:spacing w:after="259"/>
        <w:ind w:left="1418" w:right="58"/>
        <w:rPr>
          <w:rFonts w:asciiTheme="minorHAnsi" w:hAnsiTheme="minorHAnsi" w:cstheme="minorBidi"/>
        </w:rPr>
      </w:pPr>
      <w:r w:rsidRPr="1C4AD231">
        <w:rPr>
          <w:rFonts w:asciiTheme="minorHAnsi" w:hAnsiTheme="minorHAnsi" w:cstheme="minorBidi"/>
        </w:rPr>
        <w:t xml:space="preserve">the period for which the data will be stored, or, if that is not possible, the criteria that will be used to determine the retention </w:t>
      </w:r>
      <w:r w:rsidR="00684C50" w:rsidRPr="1C4AD231">
        <w:rPr>
          <w:rFonts w:asciiTheme="minorHAnsi" w:hAnsiTheme="minorHAnsi" w:cstheme="minorBidi"/>
        </w:rPr>
        <w:t>period;</w:t>
      </w:r>
      <w:r w:rsidRPr="1C4AD231">
        <w:rPr>
          <w:rFonts w:asciiTheme="minorHAnsi" w:hAnsiTheme="minorHAnsi" w:cstheme="minorBidi"/>
        </w:rPr>
        <w:t xml:space="preserve"> </w:t>
      </w:r>
    </w:p>
    <w:p w14:paraId="3DF6823F" w14:textId="77777777" w:rsidR="00197F68" w:rsidRPr="00D5587C" w:rsidRDefault="00B07E67" w:rsidP="007A6C1B">
      <w:pPr>
        <w:pStyle w:val="ListParagraph"/>
        <w:numPr>
          <w:ilvl w:val="0"/>
          <w:numId w:val="10"/>
        </w:numPr>
        <w:spacing w:after="261"/>
        <w:ind w:left="1418" w:right="58"/>
        <w:rPr>
          <w:rFonts w:asciiTheme="minorHAnsi" w:hAnsiTheme="minorHAnsi" w:cstheme="minorBidi"/>
        </w:rPr>
      </w:pPr>
      <w:r w:rsidRPr="1C4AD231">
        <w:rPr>
          <w:rFonts w:asciiTheme="minorHAnsi" w:hAnsiTheme="minorHAnsi" w:cstheme="minorBidi"/>
        </w:rPr>
        <w:t xml:space="preserve">if processing is based on consent, the data subjects’ right to withdraw consent at any time; and </w:t>
      </w:r>
    </w:p>
    <w:p w14:paraId="34EF8986" w14:textId="77777777" w:rsidR="00197F68" w:rsidRPr="00D5587C" w:rsidRDefault="00B07E67" w:rsidP="007A6C1B">
      <w:pPr>
        <w:pStyle w:val="ListParagraph"/>
        <w:numPr>
          <w:ilvl w:val="0"/>
          <w:numId w:val="10"/>
        </w:numPr>
        <w:spacing w:after="234"/>
        <w:ind w:left="1418" w:right="58"/>
        <w:rPr>
          <w:rFonts w:asciiTheme="minorHAnsi" w:hAnsiTheme="minorHAnsi" w:cstheme="minorBidi"/>
        </w:rPr>
      </w:pPr>
      <w:r w:rsidRPr="1C4AD231">
        <w:rPr>
          <w:rFonts w:asciiTheme="minorHAnsi" w:hAnsiTheme="minorHAnsi" w:cstheme="minorBidi"/>
        </w:rPr>
        <w:t xml:space="preserve">the data subjects’ rights under the GDPR (right to access their data, right to request rectification or erasure of their data, right to object to processing, right to lodge a complaint with the ICO). </w:t>
      </w:r>
    </w:p>
    <w:p w14:paraId="647B9CF7" w14:textId="5344981C" w:rsidR="00197F68" w:rsidRPr="00755359" w:rsidRDefault="00B07E67" w:rsidP="006B00A1">
      <w:pPr>
        <w:spacing w:after="231"/>
        <w:ind w:left="1058" w:right="58" w:firstLine="0"/>
        <w:rPr>
          <w:rFonts w:asciiTheme="minorHAnsi" w:hAnsiTheme="minorHAnsi" w:cstheme="minorBidi"/>
        </w:rPr>
      </w:pPr>
      <w:r w:rsidRPr="06E08850">
        <w:rPr>
          <w:rFonts w:asciiTheme="minorHAnsi" w:hAnsiTheme="minorHAnsi" w:cstheme="minorBidi"/>
        </w:rPr>
        <w:t xml:space="preserve">For research this prescribed information is often provided to data subjects in the form of a privacy notice </w:t>
      </w:r>
      <w:r w:rsidR="00605604" w:rsidRPr="06E08850">
        <w:rPr>
          <w:rFonts w:asciiTheme="minorHAnsi" w:hAnsiTheme="minorHAnsi" w:cstheme="minorBidi"/>
        </w:rPr>
        <w:t>and/</w:t>
      </w:r>
      <w:r w:rsidRPr="06E08850">
        <w:rPr>
          <w:rFonts w:asciiTheme="minorHAnsi" w:hAnsiTheme="minorHAnsi" w:cstheme="minorBidi"/>
        </w:rPr>
        <w:t>or participant information.</w:t>
      </w:r>
      <w:r w:rsidR="5B171F0D" w:rsidRPr="371A1E9C">
        <w:rPr>
          <w:rFonts w:asciiTheme="minorHAnsi" w:hAnsiTheme="minorHAnsi" w:cstheme="minorBidi"/>
        </w:rPr>
        <w:t xml:space="preserve"> </w:t>
      </w:r>
      <w:r w:rsidR="5B171F0D" w:rsidRPr="258FCB1E">
        <w:rPr>
          <w:rFonts w:asciiTheme="minorHAnsi" w:hAnsiTheme="minorHAnsi" w:cstheme="minorBidi"/>
        </w:rPr>
        <w:t xml:space="preserve">Please note the Information Governance team have a template you can use for standard wording to be included within your participation form. </w:t>
      </w:r>
    </w:p>
    <w:p w14:paraId="75418DEA" w14:textId="77777777" w:rsidR="00197F68" w:rsidRPr="00755359" w:rsidRDefault="00B07E67" w:rsidP="006B00A1">
      <w:pPr>
        <w:spacing w:after="232"/>
        <w:ind w:left="1058" w:right="58" w:firstLine="0"/>
        <w:rPr>
          <w:rFonts w:asciiTheme="minorHAnsi" w:hAnsiTheme="minorHAnsi" w:cstheme="minorBidi"/>
        </w:rPr>
      </w:pPr>
      <w:r w:rsidRPr="1C4AD231">
        <w:rPr>
          <w:rFonts w:asciiTheme="minorHAnsi" w:hAnsiTheme="minorHAnsi" w:cstheme="minorBidi"/>
        </w:rPr>
        <w:t xml:space="preserve">Researchers should consider how they will ensure that </w:t>
      </w:r>
      <w:r w:rsidRPr="1C4AD231">
        <w:rPr>
          <w:rFonts w:asciiTheme="minorHAnsi" w:hAnsiTheme="minorHAnsi" w:cstheme="minorBidi"/>
          <w:sz w:val="21"/>
          <w:szCs w:val="21"/>
        </w:rPr>
        <w:t>all</w:t>
      </w:r>
      <w:r w:rsidRPr="1C4AD231">
        <w:rPr>
          <w:rFonts w:asciiTheme="minorHAnsi" w:hAnsiTheme="minorHAnsi" w:cstheme="minorBidi"/>
        </w:rPr>
        <w:t xml:space="preserve"> participants (or parents/guardians of child participants) are provided with the correct prescribed information. Whether the prescribed information is provided in a written format, read out to </w:t>
      </w:r>
      <w:proofErr w:type="gramStart"/>
      <w:r w:rsidRPr="1C4AD231">
        <w:rPr>
          <w:rFonts w:asciiTheme="minorHAnsi" w:hAnsiTheme="minorHAnsi" w:cstheme="minorBidi"/>
        </w:rPr>
        <w:t>them</w:t>
      </w:r>
      <w:proofErr w:type="gramEnd"/>
      <w:r w:rsidRPr="1C4AD231">
        <w:rPr>
          <w:rFonts w:asciiTheme="minorHAnsi" w:hAnsiTheme="minorHAnsi" w:cstheme="minorBidi"/>
        </w:rPr>
        <w:t xml:space="preserve"> or otherwise made available to them will depend on the nature of the project and the usefulness of that format to the participants. Above all, the prescribed information should be provided in a user-friendly way that avoids </w:t>
      </w:r>
      <w:r w:rsidRPr="1C4AD231">
        <w:rPr>
          <w:rFonts w:asciiTheme="minorHAnsi" w:hAnsiTheme="minorHAnsi" w:cstheme="minorBidi"/>
        </w:rPr>
        <w:lastRenderedPageBreak/>
        <w:t xml:space="preserve">unnecessary jargon, and you should always document that you have provided this, particularly if the prescribed information is read out to data subjects. </w:t>
      </w:r>
    </w:p>
    <w:p w14:paraId="6EEE3035" w14:textId="26D65C97" w:rsidR="00197F68" w:rsidRPr="00362FD0" w:rsidRDefault="005850B2" w:rsidP="00AD6709">
      <w:pPr>
        <w:pStyle w:val="Heading4"/>
      </w:pPr>
      <w:r>
        <w:t>b)</w:t>
      </w:r>
      <w:r>
        <w:tab/>
      </w:r>
      <w:r w:rsidR="00B07E67" w:rsidRPr="1C4AD231">
        <w:t xml:space="preserve">Data obtained from a third party </w:t>
      </w:r>
    </w:p>
    <w:p w14:paraId="42BC582A" w14:textId="6E4791FA" w:rsidR="00197F68" w:rsidRPr="00755359" w:rsidRDefault="00B07E67" w:rsidP="006B00A1">
      <w:pPr>
        <w:spacing w:after="224"/>
        <w:ind w:left="1080" w:right="58" w:firstLine="0"/>
        <w:rPr>
          <w:rFonts w:asciiTheme="minorHAnsi" w:hAnsiTheme="minorHAnsi" w:cstheme="minorBidi"/>
        </w:rPr>
      </w:pPr>
      <w:r w:rsidRPr="33AD9453">
        <w:rPr>
          <w:rFonts w:asciiTheme="minorHAnsi" w:hAnsiTheme="minorHAnsi" w:cstheme="minorBidi"/>
        </w:rPr>
        <w:t xml:space="preserve">Many research projects across the </w:t>
      </w:r>
      <w:r w:rsidR="0968A6B8"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 xml:space="preserve">, however, do not collect personal data directly from the individual participants, but instead involve contributions of data from other research projects or other third parties. In these cases, you are still required to provide the individual participants with the prescribed information, as detailed above, together with the following additional information: </w:t>
      </w:r>
    </w:p>
    <w:p w14:paraId="4E8F2749" w14:textId="77777777" w:rsidR="00197F68" w:rsidRPr="00BF0184" w:rsidRDefault="00B07E67" w:rsidP="007A6C1B">
      <w:pPr>
        <w:pStyle w:val="ListParagraph"/>
        <w:numPr>
          <w:ilvl w:val="0"/>
          <w:numId w:val="5"/>
        </w:numPr>
        <w:ind w:left="1440" w:right="58"/>
        <w:rPr>
          <w:rFonts w:asciiTheme="minorHAnsi" w:hAnsiTheme="minorHAnsi" w:cstheme="minorBidi"/>
        </w:rPr>
      </w:pPr>
      <w:r w:rsidRPr="1C4AD231">
        <w:rPr>
          <w:rFonts w:asciiTheme="minorHAnsi" w:hAnsiTheme="minorHAnsi" w:cstheme="minorBidi"/>
        </w:rPr>
        <w:t xml:space="preserve">the categories of personal data to be processed; and </w:t>
      </w:r>
    </w:p>
    <w:p w14:paraId="64E3082A" w14:textId="77777777" w:rsidR="00197F68" w:rsidRPr="00BF0184" w:rsidRDefault="00B07E67" w:rsidP="007A6C1B">
      <w:pPr>
        <w:pStyle w:val="ListParagraph"/>
        <w:numPr>
          <w:ilvl w:val="0"/>
          <w:numId w:val="5"/>
        </w:numPr>
        <w:ind w:left="1440" w:right="58"/>
        <w:rPr>
          <w:rFonts w:asciiTheme="minorHAnsi" w:hAnsiTheme="minorHAnsi" w:cstheme="minorBidi"/>
        </w:rPr>
      </w:pPr>
      <w:r w:rsidRPr="1C4AD231">
        <w:rPr>
          <w:rFonts w:asciiTheme="minorHAnsi" w:hAnsiTheme="minorHAnsi" w:cstheme="minorBidi"/>
        </w:rPr>
        <w:t xml:space="preserve">the source of the personal data, and, whether it came from public sources. </w:t>
      </w:r>
    </w:p>
    <w:p w14:paraId="74BD1BA1" w14:textId="4210F525" w:rsidR="00197F68" w:rsidRPr="00755359" w:rsidRDefault="555CE907" w:rsidP="006B00A1">
      <w:pPr>
        <w:spacing w:after="288"/>
        <w:ind w:left="1080" w:right="58" w:firstLine="0"/>
        <w:rPr>
          <w:rFonts w:asciiTheme="minorHAnsi" w:hAnsiTheme="minorHAnsi" w:cstheme="minorBidi"/>
        </w:rPr>
      </w:pPr>
      <w:r w:rsidRPr="6A38A7B4">
        <w:rPr>
          <w:rFonts w:asciiTheme="minorHAnsi" w:hAnsiTheme="minorHAnsi" w:cstheme="minorBidi"/>
        </w:rPr>
        <w:t xml:space="preserve">If you are in any doubt with regards to </w:t>
      </w:r>
      <w:r w:rsidR="59E52D6A" w:rsidRPr="6A38A7B4">
        <w:rPr>
          <w:rFonts w:asciiTheme="minorHAnsi" w:hAnsiTheme="minorHAnsi" w:cstheme="minorBidi"/>
        </w:rPr>
        <w:t xml:space="preserve">data being provided </w:t>
      </w:r>
      <w:r w:rsidRPr="6A38A7B4">
        <w:rPr>
          <w:rFonts w:asciiTheme="minorHAnsi" w:hAnsiTheme="minorHAnsi" w:cstheme="minorBidi"/>
        </w:rPr>
        <w:t>by</w:t>
      </w:r>
      <w:r w:rsidR="2F6BB476" w:rsidRPr="6A38A7B4">
        <w:rPr>
          <w:rFonts w:asciiTheme="minorHAnsi" w:hAnsiTheme="minorHAnsi" w:cstheme="minorBidi"/>
        </w:rPr>
        <w:t xml:space="preserve"> a</w:t>
      </w:r>
      <w:r w:rsidRPr="6A38A7B4">
        <w:rPr>
          <w:rFonts w:asciiTheme="minorHAnsi" w:hAnsiTheme="minorHAnsi" w:cstheme="minorBidi"/>
        </w:rPr>
        <w:t xml:space="preserve"> </w:t>
      </w:r>
      <w:r w:rsidR="354D094B" w:rsidRPr="6A38A7B4">
        <w:rPr>
          <w:rFonts w:asciiTheme="minorHAnsi" w:hAnsiTheme="minorHAnsi" w:cstheme="minorBidi"/>
        </w:rPr>
        <w:t>third-party</w:t>
      </w:r>
      <w:r w:rsidR="4591C66D" w:rsidRPr="6A38A7B4">
        <w:rPr>
          <w:rFonts w:asciiTheme="minorHAnsi" w:hAnsiTheme="minorHAnsi" w:cstheme="minorBidi"/>
        </w:rPr>
        <w:t xml:space="preserve"> organisation, please seek advice from </w:t>
      </w:r>
      <w:r w:rsidR="2D020B59" w:rsidRPr="1C4AD231">
        <w:rPr>
          <w:rFonts w:asciiTheme="minorHAnsi" w:hAnsiTheme="minorHAnsi" w:cstheme="minorBidi"/>
        </w:rPr>
        <w:t>the</w:t>
      </w:r>
      <w:r w:rsidR="4591C66D" w:rsidRPr="1C4AD231">
        <w:rPr>
          <w:rFonts w:asciiTheme="minorHAnsi" w:hAnsiTheme="minorHAnsi" w:cstheme="minorBidi"/>
        </w:rPr>
        <w:t xml:space="preserve"> </w:t>
      </w:r>
      <w:r w:rsidR="4591C66D" w:rsidRPr="6A38A7B4">
        <w:rPr>
          <w:rFonts w:asciiTheme="minorHAnsi" w:hAnsiTheme="minorHAnsi" w:cstheme="minorBidi"/>
        </w:rPr>
        <w:t xml:space="preserve">Information Governance </w:t>
      </w:r>
      <w:r w:rsidR="0833D8EC" w:rsidRPr="1C4AD231">
        <w:rPr>
          <w:rFonts w:asciiTheme="minorHAnsi" w:hAnsiTheme="minorHAnsi" w:cstheme="minorBidi"/>
        </w:rPr>
        <w:t>Team</w:t>
      </w:r>
      <w:r w:rsidR="4591C66D" w:rsidRPr="1C4AD231">
        <w:rPr>
          <w:rFonts w:asciiTheme="minorHAnsi" w:hAnsiTheme="minorHAnsi" w:cstheme="minorBidi"/>
        </w:rPr>
        <w:t xml:space="preserve"> </w:t>
      </w:r>
      <w:r w:rsidR="4591C66D" w:rsidRPr="6A38A7B4">
        <w:rPr>
          <w:rFonts w:asciiTheme="minorHAnsi" w:hAnsiTheme="minorHAnsi" w:cstheme="minorBidi"/>
        </w:rPr>
        <w:t>and</w:t>
      </w:r>
      <w:r w:rsidR="189D7898" w:rsidRPr="1C4AD231">
        <w:rPr>
          <w:rFonts w:asciiTheme="minorHAnsi" w:hAnsiTheme="minorHAnsi" w:cstheme="minorBidi"/>
        </w:rPr>
        <w:t xml:space="preserve"> </w:t>
      </w:r>
      <w:r w:rsidR="4591C66D" w:rsidRPr="1C4AD231">
        <w:rPr>
          <w:rFonts w:asciiTheme="minorHAnsi" w:hAnsiTheme="minorHAnsi" w:cstheme="minorBidi"/>
        </w:rPr>
        <w:t>/</w:t>
      </w:r>
      <w:r w:rsidR="204C5194" w:rsidRPr="1C4AD231">
        <w:rPr>
          <w:rFonts w:asciiTheme="minorHAnsi" w:hAnsiTheme="minorHAnsi" w:cstheme="minorBidi"/>
        </w:rPr>
        <w:t xml:space="preserve"> </w:t>
      </w:r>
      <w:r w:rsidR="4591C66D" w:rsidRPr="6A38A7B4">
        <w:rPr>
          <w:rFonts w:asciiTheme="minorHAnsi" w:hAnsiTheme="minorHAnsi" w:cstheme="minorBidi"/>
        </w:rPr>
        <w:t xml:space="preserve">or </w:t>
      </w:r>
      <w:r w:rsidR="1EB99BFD" w:rsidRPr="1C4AD231">
        <w:rPr>
          <w:rFonts w:asciiTheme="minorHAnsi" w:hAnsiTheme="minorHAnsi" w:cstheme="minorBidi"/>
        </w:rPr>
        <w:t>L</w:t>
      </w:r>
      <w:r w:rsidR="4591C66D" w:rsidRPr="1C4AD231">
        <w:rPr>
          <w:rFonts w:asciiTheme="minorHAnsi" w:hAnsiTheme="minorHAnsi" w:cstheme="minorBidi"/>
        </w:rPr>
        <w:t xml:space="preserve">egal </w:t>
      </w:r>
      <w:r w:rsidR="73FA988F" w:rsidRPr="1C4AD231">
        <w:rPr>
          <w:rFonts w:asciiTheme="minorHAnsi" w:hAnsiTheme="minorHAnsi" w:cstheme="minorBidi"/>
        </w:rPr>
        <w:t>S</w:t>
      </w:r>
      <w:r w:rsidR="4591C66D" w:rsidRPr="1C4AD231">
        <w:rPr>
          <w:rFonts w:asciiTheme="minorHAnsi" w:hAnsiTheme="minorHAnsi" w:cstheme="minorBidi"/>
        </w:rPr>
        <w:t>ervices</w:t>
      </w:r>
      <w:r w:rsidR="4591C66D" w:rsidRPr="6A38A7B4">
        <w:rPr>
          <w:rFonts w:asciiTheme="minorHAnsi" w:hAnsiTheme="minorHAnsi" w:cstheme="minorBidi"/>
        </w:rPr>
        <w:t xml:space="preserve">. </w:t>
      </w:r>
      <w:r w:rsidR="00B07E67" w:rsidRPr="6A38A7B4">
        <w:rPr>
          <w:rFonts w:asciiTheme="minorHAnsi" w:hAnsiTheme="minorHAnsi" w:cstheme="minorBidi"/>
        </w:rPr>
        <w:t xml:space="preserve">  </w:t>
      </w:r>
    </w:p>
    <w:p w14:paraId="15D9F0AB" w14:textId="665DD515" w:rsidR="00197F68" w:rsidRPr="00C64320" w:rsidRDefault="006C1B9A" w:rsidP="006219AB">
      <w:pPr>
        <w:pStyle w:val="Heading3"/>
        <w:ind w:left="0" w:firstLine="0"/>
      </w:pPr>
      <w:r>
        <w:t>F</w:t>
      </w:r>
      <w:r w:rsidR="00C66FC1">
        <w:t>1</w:t>
      </w:r>
      <w:r w:rsidR="3F2D6A41" w:rsidRPr="30EF7DEB">
        <w:t>.</w:t>
      </w:r>
      <w:r>
        <w:t>2</w:t>
      </w:r>
      <w:r w:rsidR="00B55D70">
        <w:tab/>
      </w:r>
      <w:r w:rsidR="00B55D70" w:rsidRPr="30EF7DEB">
        <w:t>Purpose limitation</w:t>
      </w:r>
    </w:p>
    <w:p w14:paraId="52EC534D" w14:textId="77777777" w:rsidR="00103F72" w:rsidRDefault="00B07E67" w:rsidP="1C4AD231">
      <w:pPr>
        <w:spacing w:after="288"/>
        <w:ind w:left="720" w:right="58" w:firstLine="0"/>
        <w:rPr>
          <w:rFonts w:asciiTheme="minorHAnsi" w:hAnsiTheme="minorHAnsi" w:cstheme="minorBidi"/>
        </w:rPr>
      </w:pPr>
      <w:r w:rsidRPr="1C4AD231">
        <w:rPr>
          <w:rFonts w:asciiTheme="minorHAnsi" w:hAnsiTheme="minorHAnsi" w:cstheme="minorBidi"/>
        </w:rPr>
        <w:t>This data protection principle is clearly consistent with the requirement to provide individuals with certain prescribed information. It follows that where you have obtained personal data for a specified purpose, you should not then be allowed to use it for other purposes (</w:t>
      </w:r>
      <w:proofErr w:type="gramStart"/>
      <w:r w:rsidRPr="1C4AD231">
        <w:rPr>
          <w:rFonts w:asciiTheme="minorHAnsi" w:hAnsiTheme="minorHAnsi" w:cstheme="minorBidi"/>
        </w:rPr>
        <w:t>i.e.</w:t>
      </w:r>
      <w:proofErr w:type="gramEnd"/>
      <w:r w:rsidRPr="1C4AD231">
        <w:rPr>
          <w:rFonts w:asciiTheme="minorHAnsi" w:hAnsiTheme="minorHAnsi" w:cstheme="minorBidi"/>
        </w:rPr>
        <w:t xml:space="preserve"> ‘further processing’) that are incompatible with that original purpose. </w:t>
      </w:r>
    </w:p>
    <w:p w14:paraId="64F2894A" w14:textId="3B80AFFD" w:rsidR="00197F68" w:rsidRPr="00755359" w:rsidRDefault="00B07E67" w:rsidP="1C4AD231">
      <w:pPr>
        <w:spacing w:after="288"/>
        <w:ind w:left="720" w:right="58" w:firstLine="0"/>
        <w:rPr>
          <w:rFonts w:asciiTheme="minorHAnsi" w:hAnsiTheme="minorHAnsi" w:cstheme="minorBidi"/>
        </w:rPr>
      </w:pPr>
      <w:r w:rsidRPr="1C4AD231">
        <w:rPr>
          <w:rFonts w:asciiTheme="minorHAnsi" w:hAnsiTheme="minorHAnsi" w:cstheme="minorBidi"/>
        </w:rPr>
        <w:t xml:space="preserve">However, the GDPR states that the further processing of data for research purposes will be considered compatible with the original purpose for which the data was collected. There is therefore a general presumption that data collected for a non-research purpose may be reused for research purposes. However, it will still be necessary to provide the prescribed information to the data subjects, and to do so before the further processing takes place. It would also be necessary to seek consent for the new </w:t>
      </w:r>
      <w:proofErr w:type="gramStart"/>
      <w:r w:rsidRPr="1C4AD231">
        <w:rPr>
          <w:rFonts w:asciiTheme="minorHAnsi" w:hAnsiTheme="minorHAnsi" w:cstheme="minorBidi"/>
        </w:rPr>
        <w:t>purpose, if</w:t>
      </w:r>
      <w:proofErr w:type="gramEnd"/>
      <w:r w:rsidRPr="1C4AD231">
        <w:rPr>
          <w:rFonts w:asciiTheme="minorHAnsi" w:hAnsiTheme="minorHAnsi" w:cstheme="minorBidi"/>
        </w:rPr>
        <w:t xml:space="preserve"> it was the intention to rely on consent as the lawful basis for processing.  </w:t>
      </w:r>
    </w:p>
    <w:p w14:paraId="4789CC6D" w14:textId="14298D59" w:rsidR="00197F68" w:rsidRPr="00C64320" w:rsidRDefault="006C1B9A" w:rsidP="006219AB">
      <w:pPr>
        <w:pStyle w:val="Heading3"/>
        <w:ind w:left="0" w:firstLine="0"/>
      </w:pPr>
      <w:r>
        <w:t>F1.</w:t>
      </w:r>
      <w:r w:rsidR="00027D81">
        <w:t>3</w:t>
      </w:r>
      <w:r w:rsidR="00821CA0">
        <w:tab/>
      </w:r>
      <w:r w:rsidR="00821CA0" w:rsidRPr="30EF7DEB">
        <w:t>Data</w:t>
      </w:r>
      <w:r w:rsidR="00B07E67" w:rsidRPr="30EF7DEB">
        <w:t xml:space="preserve"> minimisation</w:t>
      </w:r>
    </w:p>
    <w:p w14:paraId="0C7444B2" w14:textId="77777777" w:rsidR="00197F68" w:rsidRPr="00755359" w:rsidRDefault="00B07E67" w:rsidP="1C4AD231">
      <w:pPr>
        <w:spacing w:after="232"/>
        <w:ind w:left="720" w:right="58" w:firstLine="0"/>
        <w:rPr>
          <w:rFonts w:asciiTheme="minorHAnsi" w:hAnsiTheme="minorHAnsi" w:cstheme="minorBidi"/>
        </w:rPr>
      </w:pPr>
      <w:r w:rsidRPr="1C4AD231">
        <w:rPr>
          <w:rFonts w:asciiTheme="minorHAnsi" w:hAnsiTheme="minorHAnsi" w:cstheme="minorBidi"/>
        </w:rPr>
        <w:t xml:space="preserve">This data protection principle is intended to prevent the collection of unnecessary personal data. Given the sensitivities associated with personal data, it follows that no organisation should hold personal data which it does not require. However, this data protection principle also imposes an obligation to ensure that such data is suitable for the researchers’ purposes. </w:t>
      </w:r>
    </w:p>
    <w:p w14:paraId="160962A8" w14:textId="77777777" w:rsidR="00103F72" w:rsidRDefault="00B07E67" w:rsidP="1C4AD231">
      <w:pPr>
        <w:spacing w:after="288"/>
        <w:ind w:left="720" w:right="58" w:firstLine="0"/>
        <w:rPr>
          <w:rFonts w:asciiTheme="minorHAnsi" w:hAnsiTheme="minorHAnsi" w:cstheme="minorBidi"/>
        </w:rPr>
      </w:pPr>
      <w:r w:rsidRPr="06E08850">
        <w:rPr>
          <w:rFonts w:asciiTheme="minorHAnsi" w:hAnsiTheme="minorHAnsi" w:cstheme="minorBidi"/>
        </w:rPr>
        <w:t xml:space="preserve">The GDPR emphasises that the principle of minimisation applies to all aspects of processing, and not just the amount of data collected. It is therefore important for researchers to consider their obligations under this principle in relation to each aspect of work that involves the processing of personal data. For example, it may not be necessary for every member of the research team or for collaborators to have access to the full data set and it may be possible to provide information to those persons in an anonymised or pseudonymised form. </w:t>
      </w:r>
    </w:p>
    <w:p w14:paraId="637C24FF" w14:textId="7B31FDB0" w:rsidR="00197F68" w:rsidRPr="00755359" w:rsidRDefault="00B07E67" w:rsidP="1C4AD231">
      <w:pPr>
        <w:spacing w:after="288"/>
        <w:ind w:left="720" w:right="58" w:firstLine="0"/>
        <w:rPr>
          <w:rFonts w:asciiTheme="minorHAnsi" w:hAnsiTheme="minorHAnsi" w:cstheme="minorBidi"/>
        </w:rPr>
      </w:pPr>
      <w:r w:rsidRPr="06E08850">
        <w:rPr>
          <w:rFonts w:asciiTheme="minorHAnsi" w:hAnsiTheme="minorHAnsi" w:cstheme="minorBidi"/>
        </w:rPr>
        <w:t xml:space="preserve">Access to personal data should always be restricted to those people with a legitimate need to know. Researchers should also consider whether they need to use personal data at all or whether they would be able to meet their objectives with anonymised, aggregated or pseudonymised data. </w:t>
      </w:r>
    </w:p>
    <w:p w14:paraId="2CA43DA7" w14:textId="4C388442" w:rsidR="00197F68" w:rsidRPr="00027D81" w:rsidRDefault="00027D81" w:rsidP="006219AB">
      <w:pPr>
        <w:pStyle w:val="Heading3"/>
        <w:ind w:left="0" w:firstLine="0"/>
      </w:pPr>
      <w:r>
        <w:t>F1.4</w:t>
      </w:r>
      <w:r>
        <w:tab/>
      </w:r>
      <w:r w:rsidR="00B07E67" w:rsidRPr="00027D81">
        <w:t>Accura</w:t>
      </w:r>
      <w:r w:rsidR="00D23B21" w:rsidRPr="00027D81">
        <w:t>cy</w:t>
      </w:r>
    </w:p>
    <w:p w14:paraId="33DE028A" w14:textId="2B23E484"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This data protection principle relates to the above principle: where data is not kept </w:t>
      </w:r>
      <w:r w:rsidR="00FC7301" w:rsidRPr="1C4AD231">
        <w:rPr>
          <w:rFonts w:asciiTheme="minorHAnsi" w:hAnsiTheme="minorHAnsi" w:cstheme="minorBidi"/>
        </w:rPr>
        <w:t>up to date</w:t>
      </w:r>
      <w:r w:rsidRPr="1C4AD231">
        <w:rPr>
          <w:rFonts w:asciiTheme="minorHAnsi" w:hAnsiTheme="minorHAnsi" w:cstheme="minorBidi"/>
        </w:rPr>
        <w:t xml:space="preserve"> it may cease to be adequate and relevant for the purposes for which it is to be processed. Accordingly, its retention will cease to be necessary for the purposes for which it was collected. </w:t>
      </w:r>
    </w:p>
    <w:p w14:paraId="67143DEC" w14:textId="206FCA87"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Every reasonable step should be taken to ensure that </w:t>
      </w:r>
      <w:r w:rsidR="00FC7301" w:rsidRPr="1C4AD231">
        <w:rPr>
          <w:rFonts w:asciiTheme="minorHAnsi" w:hAnsiTheme="minorHAnsi" w:cstheme="minorBidi"/>
        </w:rPr>
        <w:t>data,</w:t>
      </w:r>
      <w:r w:rsidRPr="1C4AD231">
        <w:rPr>
          <w:rFonts w:asciiTheme="minorHAnsi" w:hAnsiTheme="minorHAnsi" w:cstheme="minorBidi"/>
        </w:rPr>
        <w:t xml:space="preserve"> which is inaccurate, having regard to the purposes for which it is processed, is </w:t>
      </w:r>
      <w:proofErr w:type="gramStart"/>
      <w:r w:rsidRPr="1C4AD231">
        <w:rPr>
          <w:rFonts w:asciiTheme="minorHAnsi" w:hAnsiTheme="minorHAnsi" w:cstheme="minorBidi"/>
        </w:rPr>
        <w:t>erased</w:t>
      </w:r>
      <w:proofErr w:type="gramEnd"/>
      <w:r w:rsidRPr="1C4AD231">
        <w:rPr>
          <w:rFonts w:asciiTheme="minorHAnsi" w:hAnsiTheme="minorHAnsi" w:cstheme="minorBidi"/>
        </w:rPr>
        <w:t xml:space="preserve"> or rectified without delay. However, many research projects intend to create static archives, where updating would defeat the purpose. In these </w:t>
      </w:r>
      <w:r w:rsidR="004150E1" w:rsidRPr="1C4AD231">
        <w:rPr>
          <w:rFonts w:asciiTheme="minorHAnsi" w:hAnsiTheme="minorHAnsi" w:cstheme="minorBidi"/>
        </w:rPr>
        <w:t xml:space="preserve">specific </w:t>
      </w:r>
      <w:r w:rsidRPr="1C4AD231">
        <w:rPr>
          <w:rFonts w:asciiTheme="minorHAnsi" w:hAnsiTheme="minorHAnsi" w:cstheme="minorBidi"/>
        </w:rPr>
        <w:t xml:space="preserve">cases, it follows that researchers do not need to keep the personal data </w:t>
      </w:r>
      <w:r w:rsidR="00B03882" w:rsidRPr="1C4AD231">
        <w:rPr>
          <w:rFonts w:asciiTheme="minorHAnsi" w:hAnsiTheme="minorHAnsi" w:cstheme="minorBidi"/>
        </w:rPr>
        <w:t>up to date</w:t>
      </w:r>
      <w:r w:rsidRPr="1C4AD231">
        <w:rPr>
          <w:rFonts w:asciiTheme="minorHAnsi" w:hAnsiTheme="minorHAnsi" w:cstheme="minorBidi"/>
        </w:rPr>
        <w:t xml:space="preserve">. </w:t>
      </w:r>
    </w:p>
    <w:p w14:paraId="0C5DD849" w14:textId="39431DE7" w:rsidR="00197F68" w:rsidRPr="00B30B64" w:rsidRDefault="00390FE1" w:rsidP="006219AB">
      <w:pPr>
        <w:pStyle w:val="Heading3"/>
        <w:ind w:left="0" w:firstLine="0"/>
      </w:pPr>
      <w:r>
        <w:rPr>
          <w:bCs/>
        </w:rPr>
        <w:lastRenderedPageBreak/>
        <w:t>F1.5</w:t>
      </w:r>
      <w:r>
        <w:rPr>
          <w:bCs/>
        </w:rPr>
        <w:tab/>
      </w:r>
      <w:r w:rsidR="0061494F" w:rsidRPr="30EF7DEB">
        <w:t>Storage limitation</w:t>
      </w:r>
    </w:p>
    <w:p w14:paraId="073F2285" w14:textId="1BA56113"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This data protection principle also relates to the third principle above: retaining personal data in an identifiable form for longer than </w:t>
      </w:r>
      <w:proofErr w:type="gramStart"/>
      <w:r w:rsidRPr="1C4AD231">
        <w:rPr>
          <w:rFonts w:asciiTheme="minorHAnsi" w:hAnsiTheme="minorHAnsi" w:cstheme="minorBidi"/>
        </w:rPr>
        <w:t>necessary</w:t>
      </w:r>
      <w:proofErr w:type="gramEnd"/>
      <w:r w:rsidRPr="1C4AD231">
        <w:rPr>
          <w:rFonts w:asciiTheme="minorHAnsi" w:hAnsiTheme="minorHAnsi" w:cstheme="minorBidi"/>
        </w:rPr>
        <w:t xml:space="preserve"> means the data will no longer be relevant. </w:t>
      </w:r>
      <w:r w:rsidR="00147827" w:rsidRPr="1C4AD231">
        <w:rPr>
          <w:rFonts w:asciiTheme="minorHAnsi" w:hAnsiTheme="minorHAnsi" w:cstheme="minorBidi"/>
        </w:rPr>
        <w:t>S</w:t>
      </w:r>
      <w:r w:rsidRPr="1C4AD231">
        <w:rPr>
          <w:rFonts w:asciiTheme="minorHAnsi" w:hAnsiTheme="minorHAnsi" w:cstheme="minorBidi"/>
        </w:rPr>
        <w:t>pecific retention period</w:t>
      </w:r>
      <w:r w:rsidR="00147827" w:rsidRPr="1C4AD231">
        <w:rPr>
          <w:rFonts w:asciiTheme="minorHAnsi" w:hAnsiTheme="minorHAnsi" w:cstheme="minorBidi"/>
        </w:rPr>
        <w:t>s</w:t>
      </w:r>
      <w:r w:rsidRPr="1C4AD231">
        <w:rPr>
          <w:rFonts w:asciiTheme="minorHAnsi" w:hAnsiTheme="minorHAnsi" w:cstheme="minorBidi"/>
        </w:rPr>
        <w:t xml:space="preserve"> may be required under other legislation or </w:t>
      </w:r>
      <w:proofErr w:type="gramStart"/>
      <w:r w:rsidRPr="1C4AD231">
        <w:rPr>
          <w:rFonts w:asciiTheme="minorHAnsi" w:hAnsiTheme="minorHAnsi" w:cstheme="minorBidi"/>
        </w:rPr>
        <w:t>as a result of</w:t>
      </w:r>
      <w:proofErr w:type="gramEnd"/>
      <w:r w:rsidRPr="1C4AD231">
        <w:rPr>
          <w:rFonts w:asciiTheme="minorHAnsi" w:hAnsiTheme="minorHAnsi" w:cstheme="minorBidi"/>
        </w:rPr>
        <w:t xml:space="preserve"> regulatory or policy considerations</w:t>
      </w:r>
      <w:r w:rsidR="00147827" w:rsidRPr="1C4AD231">
        <w:rPr>
          <w:rFonts w:asciiTheme="minorHAnsi" w:hAnsiTheme="minorHAnsi" w:cstheme="minorBidi"/>
        </w:rPr>
        <w:t xml:space="preserve"> </w:t>
      </w:r>
      <w:r w:rsidR="00FB4968" w:rsidRPr="1C4AD231">
        <w:rPr>
          <w:rFonts w:asciiTheme="minorHAnsi" w:hAnsiTheme="minorHAnsi" w:cstheme="minorBidi"/>
        </w:rPr>
        <w:t xml:space="preserve">or </w:t>
      </w:r>
      <w:r w:rsidR="00FB4968" w:rsidRPr="1C4AD231">
        <w:rPr>
          <w:rFonts w:asciiTheme="minorHAnsi" w:hAnsiTheme="minorHAnsi" w:cstheme="minorBidi"/>
          <w:color w:val="auto"/>
        </w:rPr>
        <w:t>the specified, explicit and legitimate</w:t>
      </w:r>
      <w:r w:rsidR="00FB4968" w:rsidRPr="1C4AD231">
        <w:rPr>
          <w:rFonts w:asciiTheme="minorHAnsi" w:hAnsiTheme="minorHAnsi" w:cstheme="minorBidi"/>
          <w:color w:val="auto"/>
          <w:sz w:val="24"/>
          <w:szCs w:val="24"/>
        </w:rPr>
        <w:t xml:space="preserve"> </w:t>
      </w:r>
      <w:r w:rsidR="00147827" w:rsidRPr="1C4AD231">
        <w:rPr>
          <w:rFonts w:asciiTheme="minorHAnsi" w:hAnsiTheme="minorHAnsi" w:cstheme="minorBidi"/>
        </w:rPr>
        <w:t>purpose</w:t>
      </w:r>
      <w:r w:rsidRPr="1C4AD231">
        <w:rPr>
          <w:rFonts w:asciiTheme="minorHAnsi" w:hAnsiTheme="minorHAnsi" w:cstheme="minorBidi"/>
        </w:rPr>
        <w:t xml:space="preserve">. In all cases the retention period, or at least its basis and rationale (if not the precise detail), will need to be communicated to the research participants in order to satisfy the requirement for transparency under the first data protection principle (pages 8 and 9 above).   </w:t>
      </w:r>
    </w:p>
    <w:p w14:paraId="1C1BEC0F" w14:textId="6ED9E72B" w:rsidR="00197F68" w:rsidRPr="00C64320" w:rsidRDefault="00390FE1" w:rsidP="006219AB">
      <w:pPr>
        <w:pStyle w:val="Heading3"/>
        <w:ind w:left="0" w:firstLine="0"/>
      </w:pPr>
      <w:r>
        <w:t>F1.6</w:t>
      </w:r>
      <w:r>
        <w:tab/>
      </w:r>
      <w:r w:rsidR="0061494F" w:rsidRPr="30EF7DEB">
        <w:t>Integrity and confidentiality</w:t>
      </w:r>
    </w:p>
    <w:p w14:paraId="763BC793" w14:textId="243266AC"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Information security </w:t>
      </w:r>
      <w:r w:rsidR="0028167C" w:rsidRPr="1C4AD231">
        <w:rPr>
          <w:rFonts w:asciiTheme="minorHAnsi" w:hAnsiTheme="minorHAnsi" w:cstheme="minorBidi"/>
        </w:rPr>
        <w:t xml:space="preserve">and data </w:t>
      </w:r>
      <w:r w:rsidRPr="1C4AD231">
        <w:rPr>
          <w:rFonts w:asciiTheme="minorHAnsi" w:hAnsiTheme="minorHAnsi" w:cstheme="minorBidi"/>
        </w:rPr>
        <w:t>breaches may cause serious harm or distress to individuals or less serious</w:t>
      </w:r>
      <w:r w:rsidR="47E1E52E" w:rsidRPr="0655E1C2">
        <w:rPr>
          <w:rFonts w:asciiTheme="minorHAnsi" w:hAnsiTheme="minorHAnsi" w:cstheme="minorBidi"/>
        </w:rPr>
        <w:t>,</w:t>
      </w:r>
      <w:r w:rsidRPr="1C4AD231">
        <w:rPr>
          <w:rFonts w:asciiTheme="minorHAnsi" w:hAnsiTheme="minorHAnsi" w:cstheme="minorBidi"/>
        </w:rPr>
        <w:t xml:space="preserve"> embarrassment or inconvenience, but individuals are entitled to be protected from </w:t>
      </w:r>
      <w:r w:rsidRPr="1C4AD231">
        <w:rPr>
          <w:rFonts w:asciiTheme="minorHAnsi" w:hAnsiTheme="minorHAnsi" w:cstheme="minorBidi"/>
          <w:sz w:val="21"/>
          <w:szCs w:val="21"/>
        </w:rPr>
        <w:t>all</w:t>
      </w:r>
      <w:r w:rsidRPr="1C4AD231">
        <w:rPr>
          <w:rFonts w:asciiTheme="minorHAnsi" w:hAnsiTheme="minorHAnsi" w:cstheme="minorBidi"/>
        </w:rPr>
        <w:t xml:space="preserve"> forms of security </w:t>
      </w:r>
      <w:r w:rsidR="0028167C" w:rsidRPr="1C4AD231">
        <w:rPr>
          <w:rFonts w:asciiTheme="minorHAnsi" w:hAnsiTheme="minorHAnsi" w:cstheme="minorBidi"/>
        </w:rPr>
        <w:t xml:space="preserve">and data </w:t>
      </w:r>
      <w:r w:rsidRPr="1C4AD231">
        <w:rPr>
          <w:rFonts w:asciiTheme="minorHAnsi" w:hAnsiTheme="minorHAnsi" w:cstheme="minorBidi"/>
        </w:rPr>
        <w:t>breach</w:t>
      </w:r>
      <w:r w:rsidR="0028167C" w:rsidRPr="1C4AD231">
        <w:rPr>
          <w:rFonts w:asciiTheme="minorHAnsi" w:hAnsiTheme="minorHAnsi" w:cstheme="minorBidi"/>
        </w:rPr>
        <w:t>es</w:t>
      </w:r>
      <w:r w:rsidRPr="1C4AD231">
        <w:rPr>
          <w:rFonts w:asciiTheme="minorHAnsi" w:hAnsiTheme="minorHAnsi" w:cstheme="minorBidi"/>
        </w:rPr>
        <w:t xml:space="preserve">.  </w:t>
      </w:r>
    </w:p>
    <w:p w14:paraId="3C289C7A" w14:textId="77777777" w:rsidR="00F8276B"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The GDPR requires researchers to take appropriate technical and organisational measures to protect personal data against unauthorised or unlawful processing of personal data and against accidental loss or destruction of, or damage to, personal data. </w:t>
      </w:r>
    </w:p>
    <w:p w14:paraId="2D4965EA" w14:textId="3C2F7135" w:rsidR="00F8276B" w:rsidRDefault="00B07E67" w:rsidP="1C4AD231">
      <w:pPr>
        <w:ind w:left="720" w:right="58" w:firstLine="0"/>
        <w:rPr>
          <w:rFonts w:asciiTheme="minorHAnsi" w:hAnsiTheme="minorHAnsi" w:cstheme="minorBidi"/>
        </w:rPr>
      </w:pPr>
      <w:r w:rsidRPr="1C4AD231">
        <w:rPr>
          <w:rFonts w:asciiTheme="minorHAnsi" w:hAnsiTheme="minorHAnsi" w:cstheme="minorBidi"/>
        </w:rPr>
        <w:t>It should be noted that the requirements of the GDPR go beyond the way information is stored and transmitted</w:t>
      </w:r>
      <w:r w:rsidR="006B38C5" w:rsidRPr="1C4AD231">
        <w:rPr>
          <w:rFonts w:asciiTheme="minorHAnsi" w:hAnsiTheme="minorHAnsi" w:cstheme="minorBidi"/>
        </w:rPr>
        <w:t xml:space="preserve"> securely</w:t>
      </w:r>
      <w:r w:rsidRPr="1C4AD231">
        <w:rPr>
          <w:rFonts w:asciiTheme="minorHAnsi" w:hAnsiTheme="minorHAnsi" w:cstheme="minorBidi"/>
        </w:rPr>
        <w:t xml:space="preserve">, relating to every aspect of the processing of personal data. Security measures should seek to ensure that: </w:t>
      </w:r>
    </w:p>
    <w:p w14:paraId="31C7A267" w14:textId="240A447C" w:rsidR="00F8276B" w:rsidRDefault="00B07E67" w:rsidP="1C4AD231">
      <w:pPr>
        <w:spacing w:after="0"/>
        <w:ind w:left="1170" w:right="57" w:hanging="450"/>
        <w:rPr>
          <w:rFonts w:asciiTheme="minorHAnsi" w:hAnsiTheme="minorHAnsi" w:cstheme="minorBidi"/>
        </w:rPr>
      </w:pPr>
      <w:r w:rsidRPr="1C4AD231">
        <w:rPr>
          <w:rFonts w:asciiTheme="minorHAnsi" w:hAnsiTheme="minorHAnsi" w:cstheme="minorBidi"/>
        </w:rPr>
        <w:t>(a)</w:t>
      </w:r>
      <w:r w:rsidR="001E4DF5">
        <w:rPr>
          <w:rFonts w:asciiTheme="minorHAnsi" w:hAnsiTheme="minorHAnsi" w:cstheme="minorBidi"/>
        </w:rPr>
        <w:tab/>
        <w:t>O</w:t>
      </w:r>
      <w:r w:rsidRPr="1C4AD231">
        <w:rPr>
          <w:rFonts w:asciiTheme="minorHAnsi" w:hAnsiTheme="minorHAnsi" w:cstheme="minorBidi"/>
        </w:rPr>
        <w:t xml:space="preserve">nly authorised people can access, alter, </w:t>
      </w:r>
      <w:proofErr w:type="gramStart"/>
      <w:r w:rsidRPr="1C4AD231">
        <w:rPr>
          <w:rFonts w:asciiTheme="minorHAnsi" w:hAnsiTheme="minorHAnsi" w:cstheme="minorBidi"/>
        </w:rPr>
        <w:t>disclose</w:t>
      </w:r>
      <w:proofErr w:type="gramEnd"/>
      <w:r w:rsidRPr="1C4AD231">
        <w:rPr>
          <w:rFonts w:asciiTheme="minorHAnsi" w:hAnsiTheme="minorHAnsi" w:cstheme="minorBidi"/>
        </w:rPr>
        <w:t xml:space="preserve"> or destroy personal data; </w:t>
      </w:r>
    </w:p>
    <w:p w14:paraId="58BC49E3" w14:textId="77777777" w:rsidR="00F8276B" w:rsidRDefault="00B07E67" w:rsidP="1C4AD231">
      <w:pPr>
        <w:spacing w:after="0"/>
        <w:ind w:left="1170" w:right="57" w:hanging="450"/>
        <w:rPr>
          <w:rFonts w:asciiTheme="minorHAnsi" w:hAnsiTheme="minorHAnsi" w:cstheme="minorBidi"/>
        </w:rPr>
      </w:pPr>
      <w:r w:rsidRPr="1C4AD231">
        <w:rPr>
          <w:rFonts w:asciiTheme="minorHAnsi" w:hAnsiTheme="minorHAnsi" w:cstheme="minorBidi"/>
        </w:rPr>
        <w:t xml:space="preserve">(b) </w:t>
      </w:r>
      <w:r>
        <w:tab/>
      </w:r>
      <w:r w:rsidRPr="1C4AD231">
        <w:rPr>
          <w:rFonts w:asciiTheme="minorHAnsi" w:hAnsiTheme="minorHAnsi" w:cstheme="minorBidi"/>
        </w:rPr>
        <w:t xml:space="preserve">those people only act within the scope of their authority; and </w:t>
      </w:r>
    </w:p>
    <w:p w14:paraId="6E644138" w14:textId="7377ECA9" w:rsidR="00197F68" w:rsidRDefault="00B07E67" w:rsidP="1C4AD231">
      <w:pPr>
        <w:spacing w:after="0"/>
        <w:ind w:left="1170" w:right="57" w:hanging="450"/>
        <w:rPr>
          <w:rFonts w:asciiTheme="minorHAnsi" w:hAnsiTheme="minorHAnsi" w:cstheme="minorBidi"/>
        </w:rPr>
      </w:pPr>
      <w:r w:rsidRPr="1C4AD231">
        <w:rPr>
          <w:rFonts w:asciiTheme="minorHAnsi" w:hAnsiTheme="minorHAnsi" w:cstheme="minorBidi"/>
        </w:rPr>
        <w:t>(c)</w:t>
      </w:r>
      <w:r>
        <w:rPr>
          <w:rFonts w:asciiTheme="minorHAnsi" w:hAnsiTheme="minorHAnsi" w:cstheme="minorBidi"/>
        </w:rPr>
        <w:tab/>
      </w:r>
      <w:r w:rsidRPr="1C4AD231">
        <w:rPr>
          <w:rFonts w:asciiTheme="minorHAnsi" w:hAnsiTheme="minorHAnsi" w:cstheme="minorBidi"/>
        </w:rPr>
        <w:t xml:space="preserve">if personal data is accidentally lost or destroyed it can be recovered to prevent any </w:t>
      </w:r>
      <w:r w:rsidR="00370A9C" w:rsidRPr="1C4AD231">
        <w:rPr>
          <w:rFonts w:asciiTheme="minorHAnsi" w:hAnsiTheme="minorHAnsi" w:cstheme="minorBidi"/>
        </w:rPr>
        <w:t xml:space="preserve">harm, </w:t>
      </w:r>
      <w:r w:rsidRPr="1C4AD231">
        <w:rPr>
          <w:rFonts w:asciiTheme="minorHAnsi" w:hAnsiTheme="minorHAnsi" w:cstheme="minorBidi"/>
        </w:rPr>
        <w:t xml:space="preserve">damage or distress to the individuals concerned. </w:t>
      </w:r>
    </w:p>
    <w:p w14:paraId="16B6E5D0" w14:textId="77777777" w:rsidR="00DD512F" w:rsidRPr="00755359" w:rsidRDefault="00DD512F" w:rsidP="00DD512F">
      <w:pPr>
        <w:spacing w:after="0"/>
        <w:ind w:left="363" w:right="57" w:hanging="11"/>
        <w:rPr>
          <w:rFonts w:asciiTheme="minorHAnsi" w:hAnsiTheme="minorHAnsi" w:cstheme="minorHAnsi"/>
        </w:rPr>
      </w:pPr>
    </w:p>
    <w:p w14:paraId="71504A1A" w14:textId="3BB20CCB" w:rsidR="009A611D" w:rsidRPr="00C366CE" w:rsidRDefault="009A611D" w:rsidP="1C4AD231">
      <w:pPr>
        <w:spacing w:after="235"/>
        <w:ind w:left="720" w:right="58" w:firstLine="0"/>
        <w:rPr>
          <w:rFonts w:asciiTheme="minorHAnsi" w:hAnsiTheme="minorHAnsi" w:cstheme="minorBidi"/>
          <w:b/>
        </w:rPr>
      </w:pPr>
      <w:r w:rsidRPr="1C4AD231">
        <w:rPr>
          <w:rFonts w:asciiTheme="minorHAnsi" w:hAnsiTheme="minorHAnsi" w:cstheme="minorBidi"/>
          <w:b/>
        </w:rPr>
        <w:t>R</w:t>
      </w:r>
      <w:r w:rsidR="00B07E67" w:rsidRPr="1C4AD231">
        <w:rPr>
          <w:rFonts w:asciiTheme="minorHAnsi" w:hAnsiTheme="minorHAnsi" w:cstheme="minorBidi"/>
          <w:b/>
        </w:rPr>
        <w:t xml:space="preserve">esearchers should periodically consider technological advancements in security and the costs of implementing those technologies and liaise with IT </w:t>
      </w:r>
      <w:r w:rsidR="00CE59B0" w:rsidRPr="1C4AD231">
        <w:rPr>
          <w:rFonts w:asciiTheme="minorHAnsi" w:hAnsiTheme="minorHAnsi" w:cstheme="minorBidi"/>
          <w:b/>
        </w:rPr>
        <w:t>Services</w:t>
      </w:r>
      <w:r w:rsidR="006D4FEF" w:rsidRPr="1C4AD231">
        <w:rPr>
          <w:rFonts w:asciiTheme="minorHAnsi" w:hAnsiTheme="minorHAnsi" w:cstheme="minorBidi"/>
          <w:b/>
        </w:rPr>
        <w:t xml:space="preserve"> IT Security</w:t>
      </w:r>
      <w:r w:rsidR="007B7880" w:rsidRPr="1C4AD231">
        <w:rPr>
          <w:rFonts w:asciiTheme="minorHAnsi" w:hAnsiTheme="minorHAnsi" w:cstheme="minorBidi"/>
          <w:b/>
        </w:rPr>
        <w:t xml:space="preserve"> Team</w:t>
      </w:r>
      <w:r w:rsidR="00CE59B0" w:rsidRPr="1C4AD231">
        <w:rPr>
          <w:rFonts w:asciiTheme="minorHAnsi" w:hAnsiTheme="minorHAnsi" w:cstheme="minorBidi"/>
          <w:b/>
        </w:rPr>
        <w:t xml:space="preserve"> and</w:t>
      </w:r>
      <w:r w:rsidR="007B7880" w:rsidRPr="1C4AD231">
        <w:rPr>
          <w:rFonts w:asciiTheme="minorHAnsi" w:hAnsiTheme="minorHAnsi" w:cstheme="minorBidi"/>
          <w:b/>
        </w:rPr>
        <w:t>/or</w:t>
      </w:r>
      <w:r w:rsidR="00CE59B0" w:rsidRPr="1C4AD231">
        <w:rPr>
          <w:rFonts w:asciiTheme="minorHAnsi" w:hAnsiTheme="minorHAnsi" w:cstheme="minorBidi"/>
          <w:b/>
        </w:rPr>
        <w:t xml:space="preserve"> </w:t>
      </w:r>
      <w:r w:rsidR="007B7880" w:rsidRPr="1C4AD231">
        <w:rPr>
          <w:rFonts w:asciiTheme="minorHAnsi" w:hAnsiTheme="minorHAnsi" w:cstheme="minorBidi"/>
          <w:b/>
        </w:rPr>
        <w:t xml:space="preserve">the </w:t>
      </w:r>
      <w:r w:rsidR="00B07E67" w:rsidRPr="1C4AD231">
        <w:rPr>
          <w:rFonts w:asciiTheme="minorHAnsi" w:hAnsiTheme="minorHAnsi" w:cstheme="minorBidi"/>
          <w:b/>
        </w:rPr>
        <w:t xml:space="preserve">Information </w:t>
      </w:r>
      <w:r w:rsidR="279CA8DB" w:rsidRPr="1C4AD231">
        <w:rPr>
          <w:rFonts w:asciiTheme="minorHAnsi" w:hAnsiTheme="minorHAnsi" w:cstheme="minorBidi"/>
          <w:b/>
          <w:bCs/>
        </w:rPr>
        <w:t>Governance</w:t>
      </w:r>
      <w:r w:rsidR="00B07E67" w:rsidRPr="1C4AD231">
        <w:rPr>
          <w:rFonts w:asciiTheme="minorHAnsi" w:hAnsiTheme="minorHAnsi" w:cstheme="minorBidi"/>
          <w:b/>
        </w:rPr>
        <w:t xml:space="preserve"> </w:t>
      </w:r>
      <w:r w:rsidR="007B7880" w:rsidRPr="1C4AD231">
        <w:rPr>
          <w:rFonts w:asciiTheme="minorHAnsi" w:hAnsiTheme="minorHAnsi" w:cstheme="minorBidi"/>
          <w:b/>
        </w:rPr>
        <w:t>Team</w:t>
      </w:r>
      <w:r w:rsidR="00B07E67" w:rsidRPr="1C4AD231">
        <w:rPr>
          <w:rFonts w:asciiTheme="minorHAnsi" w:hAnsiTheme="minorHAnsi" w:cstheme="minorBidi"/>
          <w:b/>
        </w:rPr>
        <w:t xml:space="preserve"> as appropriate. </w:t>
      </w:r>
    </w:p>
    <w:p w14:paraId="79DF6426" w14:textId="77777777" w:rsidR="00655E75" w:rsidRDefault="00B07E67" w:rsidP="1C4AD231">
      <w:pPr>
        <w:spacing w:after="235"/>
        <w:ind w:left="720" w:right="58" w:firstLine="0"/>
        <w:rPr>
          <w:rFonts w:asciiTheme="minorHAnsi" w:hAnsiTheme="minorHAnsi" w:cstheme="minorBidi"/>
        </w:rPr>
      </w:pPr>
      <w:r w:rsidRPr="1C4AD231">
        <w:rPr>
          <w:rFonts w:asciiTheme="minorHAnsi" w:hAnsiTheme="minorHAnsi" w:cstheme="minorBidi"/>
        </w:rPr>
        <w:t xml:space="preserve">It is also important to ensure that all staff and students involved in research using personal data receive training in data protection and information security. </w:t>
      </w:r>
    </w:p>
    <w:p w14:paraId="205514E0" w14:textId="77777777" w:rsidR="00655E75" w:rsidRPr="00655E75" w:rsidRDefault="00655E75" w:rsidP="1C4AD231">
      <w:pPr>
        <w:spacing w:after="235"/>
        <w:ind w:left="720" w:right="58" w:firstLine="0"/>
        <w:rPr>
          <w:rFonts w:asciiTheme="minorHAnsi" w:hAnsiTheme="minorHAnsi" w:cstheme="minorBidi"/>
        </w:rPr>
      </w:pPr>
      <w:r w:rsidRPr="1C4AD231">
        <w:rPr>
          <w:rFonts w:asciiTheme="minorHAnsi" w:hAnsiTheme="minorHAnsi" w:cstheme="minorBidi"/>
          <w:shd w:val="clear" w:color="auto" w:fill="FFFFFF"/>
        </w:rPr>
        <w:t>A personal data breach means a breach of security leading to the accidental or unlawful destruction, loss, alteration, unauthorised disclosure of, or access to, personal data. This includes breaches that are the result of both accidental and deliberate causes.</w:t>
      </w:r>
    </w:p>
    <w:p w14:paraId="6DFA744D" w14:textId="0A11F5FA" w:rsidR="00760AA8" w:rsidRDefault="00B07E67" w:rsidP="1C4AD231">
      <w:pPr>
        <w:spacing w:after="235"/>
        <w:ind w:left="720" w:right="58" w:firstLine="0"/>
        <w:rPr>
          <w:rFonts w:asciiTheme="minorHAnsi" w:hAnsiTheme="minorHAnsi" w:cstheme="minorBidi"/>
        </w:rPr>
      </w:pPr>
      <w:r w:rsidRPr="1C4AD231">
        <w:rPr>
          <w:rFonts w:asciiTheme="minorHAnsi" w:hAnsiTheme="minorHAnsi" w:cstheme="minorBidi"/>
        </w:rPr>
        <w:t xml:space="preserve">The level of security that a research project adopts will depend on the risks associated with that project. </w:t>
      </w:r>
    </w:p>
    <w:p w14:paraId="653B80A9" w14:textId="62D24223" w:rsidR="00760AA8" w:rsidRDefault="00B07E67" w:rsidP="1C4AD231">
      <w:pPr>
        <w:spacing w:after="235"/>
        <w:ind w:left="720" w:right="58" w:firstLine="0"/>
        <w:rPr>
          <w:rFonts w:asciiTheme="minorHAnsi" w:hAnsiTheme="minorHAnsi" w:cstheme="minorBidi"/>
        </w:rPr>
      </w:pPr>
      <w:r w:rsidRPr="1C4AD231">
        <w:rPr>
          <w:rFonts w:asciiTheme="minorHAnsi" w:hAnsiTheme="minorHAnsi" w:cstheme="minorBidi"/>
        </w:rPr>
        <w:t xml:space="preserve">In particular, the GDPR says that those measures should be </w:t>
      </w:r>
      <w:r w:rsidRPr="1C4AD231">
        <w:rPr>
          <w:rFonts w:asciiTheme="minorHAnsi" w:hAnsiTheme="minorHAnsi" w:cstheme="minorBidi"/>
          <w:sz w:val="21"/>
          <w:szCs w:val="21"/>
        </w:rPr>
        <w:t>appropriate</w:t>
      </w:r>
      <w:r w:rsidRPr="1C4AD231">
        <w:rPr>
          <w:rFonts w:asciiTheme="minorHAnsi" w:hAnsiTheme="minorHAnsi" w:cstheme="minorBidi"/>
        </w:rPr>
        <w:t xml:space="preserve"> to</w:t>
      </w:r>
      <w:r w:rsidR="00760AA8" w:rsidRPr="1C4AD231">
        <w:rPr>
          <w:rFonts w:asciiTheme="minorHAnsi" w:hAnsiTheme="minorHAnsi" w:cstheme="minorBidi"/>
        </w:rPr>
        <w:t>:</w:t>
      </w:r>
      <w:r w:rsidRPr="1C4AD231">
        <w:rPr>
          <w:rFonts w:asciiTheme="minorHAnsi" w:hAnsiTheme="minorHAnsi" w:cstheme="minorBidi"/>
        </w:rPr>
        <w:t xml:space="preserve"> </w:t>
      </w:r>
    </w:p>
    <w:p w14:paraId="0FA25CE4" w14:textId="1E11429D" w:rsidR="00760AA8" w:rsidRDefault="00B07E67" w:rsidP="1C4AD231">
      <w:pPr>
        <w:spacing w:after="235"/>
        <w:ind w:left="990" w:right="58" w:hanging="270"/>
        <w:rPr>
          <w:rFonts w:asciiTheme="minorHAnsi" w:hAnsiTheme="minorHAnsi" w:cstheme="minorBidi"/>
        </w:rPr>
      </w:pPr>
      <w:r w:rsidRPr="1C4AD231">
        <w:rPr>
          <w:rFonts w:asciiTheme="minorHAnsi" w:hAnsiTheme="minorHAnsi" w:cstheme="minorBidi"/>
        </w:rPr>
        <w:t xml:space="preserve">(a) </w:t>
      </w:r>
      <w:r w:rsidR="423DD9C1" w:rsidRPr="1C4AD231">
        <w:rPr>
          <w:rFonts w:asciiTheme="minorHAnsi" w:hAnsiTheme="minorHAnsi" w:cstheme="minorBidi"/>
        </w:rPr>
        <w:t xml:space="preserve"> </w:t>
      </w:r>
      <w:r w:rsidRPr="1C4AD231">
        <w:rPr>
          <w:rFonts w:asciiTheme="minorHAnsi" w:hAnsiTheme="minorHAnsi" w:cstheme="minorBidi"/>
        </w:rPr>
        <w:t xml:space="preserve"> nature of the information in question and</w:t>
      </w:r>
      <w:r w:rsidR="00760AA8" w:rsidRPr="1C4AD231">
        <w:rPr>
          <w:rFonts w:asciiTheme="minorHAnsi" w:hAnsiTheme="minorHAnsi" w:cstheme="minorBidi"/>
        </w:rPr>
        <w:t>;</w:t>
      </w:r>
      <w:r w:rsidRPr="1C4AD231">
        <w:rPr>
          <w:rFonts w:asciiTheme="minorHAnsi" w:hAnsiTheme="minorHAnsi" w:cstheme="minorBidi"/>
        </w:rPr>
        <w:t xml:space="preserve"> </w:t>
      </w:r>
    </w:p>
    <w:p w14:paraId="1726F410" w14:textId="44894CEE" w:rsidR="00197F68" w:rsidRDefault="00B07E67" w:rsidP="1C4AD231">
      <w:pPr>
        <w:spacing w:after="235"/>
        <w:ind w:left="1080" w:right="58" w:hanging="360"/>
        <w:rPr>
          <w:rFonts w:asciiTheme="minorHAnsi" w:hAnsiTheme="minorHAnsi" w:cstheme="minorBidi"/>
        </w:rPr>
      </w:pPr>
      <w:r w:rsidRPr="1C4AD231">
        <w:rPr>
          <w:rFonts w:asciiTheme="minorHAnsi" w:hAnsiTheme="minorHAnsi" w:cstheme="minorBidi"/>
        </w:rPr>
        <w:t xml:space="preserve">(b) the harm that might result from its </w:t>
      </w:r>
      <w:r w:rsidR="00CC08F5" w:rsidRPr="1C4AD231">
        <w:rPr>
          <w:rFonts w:asciiTheme="minorHAnsi" w:hAnsiTheme="minorHAnsi" w:cstheme="minorBidi"/>
          <w:shd w:val="clear" w:color="auto" w:fill="FFFFFF"/>
        </w:rPr>
        <w:t xml:space="preserve">accidental or unlawful destruction, loss, alteration, unauthorised disclosure of, or </w:t>
      </w:r>
      <w:r w:rsidR="00BE5FBE" w:rsidRPr="1C4AD231">
        <w:rPr>
          <w:rFonts w:asciiTheme="minorHAnsi" w:hAnsiTheme="minorHAnsi" w:cstheme="minorBidi"/>
          <w:shd w:val="clear" w:color="auto" w:fill="FFFFFF"/>
        </w:rPr>
        <w:t xml:space="preserve">inappropriate </w:t>
      </w:r>
      <w:r w:rsidR="00CC08F5" w:rsidRPr="1C4AD231">
        <w:rPr>
          <w:rFonts w:asciiTheme="minorHAnsi" w:hAnsiTheme="minorHAnsi" w:cstheme="minorBidi"/>
          <w:shd w:val="clear" w:color="auto" w:fill="FFFFFF"/>
        </w:rPr>
        <w:t>access to, personal data. This includes both accidental and deliberate causes.</w:t>
      </w:r>
      <w:r w:rsidR="00BE5FBE" w:rsidRPr="1C4AD231">
        <w:rPr>
          <w:rFonts w:asciiTheme="minorHAnsi" w:hAnsiTheme="minorHAnsi" w:cstheme="minorBidi"/>
          <w:shd w:val="clear" w:color="auto" w:fill="FFFFFF"/>
        </w:rPr>
        <w:t xml:space="preserve"> </w:t>
      </w:r>
      <w:proofErr w:type="gramStart"/>
      <w:r w:rsidRPr="1C4AD231">
        <w:rPr>
          <w:rFonts w:asciiTheme="minorHAnsi" w:hAnsiTheme="minorHAnsi" w:cstheme="minorBidi"/>
        </w:rPr>
        <w:t>e.g.</w:t>
      </w:r>
      <w:proofErr w:type="gramEnd"/>
      <w:r w:rsidRPr="1C4AD231">
        <w:rPr>
          <w:rFonts w:asciiTheme="minorHAnsi" w:hAnsiTheme="minorHAnsi" w:cstheme="minorBidi"/>
        </w:rPr>
        <w:t xml:space="preserve"> identity fraud, distress at the exposure of private or sensitive </w:t>
      </w:r>
      <w:r w:rsidR="00B14C6A" w:rsidRPr="1C4AD231">
        <w:rPr>
          <w:rFonts w:asciiTheme="minorHAnsi" w:hAnsiTheme="minorHAnsi" w:cstheme="minorBidi"/>
        </w:rPr>
        <w:t xml:space="preserve">special category </w:t>
      </w:r>
      <w:r w:rsidRPr="1C4AD231">
        <w:rPr>
          <w:rFonts w:asciiTheme="minorHAnsi" w:hAnsiTheme="minorHAnsi" w:cstheme="minorBidi"/>
        </w:rPr>
        <w:t xml:space="preserve">information. </w:t>
      </w:r>
    </w:p>
    <w:p w14:paraId="4C6DC0E2" w14:textId="61DD6EB4" w:rsidR="00197F68" w:rsidRDefault="00B07E67" w:rsidP="1C4AD231">
      <w:pPr>
        <w:ind w:left="720" w:right="58" w:firstLine="0"/>
        <w:rPr>
          <w:rFonts w:asciiTheme="minorHAnsi" w:hAnsiTheme="minorHAnsi" w:cstheme="minorBidi"/>
        </w:rPr>
      </w:pPr>
      <w:r w:rsidRPr="1C4AD231">
        <w:rPr>
          <w:rFonts w:asciiTheme="minorHAnsi" w:hAnsiTheme="minorHAnsi" w:cstheme="minorBidi"/>
        </w:rPr>
        <w:t>The physical security of personal data includes factors such as the quality of doors and locks and whether the premises are protected by alarms, security lighting or CCTV; but it also includes how access to the premises is controlled, the supervision of visitors, the disposal of paper waste and the security of portable equipment (</w:t>
      </w:r>
      <w:proofErr w:type="gramStart"/>
      <w:r w:rsidRPr="1C4AD231">
        <w:rPr>
          <w:rFonts w:asciiTheme="minorHAnsi" w:hAnsiTheme="minorHAnsi" w:cstheme="minorBidi"/>
        </w:rPr>
        <w:t>e.g.</w:t>
      </w:r>
      <w:proofErr w:type="gramEnd"/>
      <w:r w:rsidRPr="1C4AD231">
        <w:rPr>
          <w:rFonts w:asciiTheme="minorHAnsi" w:hAnsiTheme="minorHAnsi" w:cstheme="minorBidi"/>
        </w:rPr>
        <w:t xml:space="preserve"> laptops and any storage media or devices). Computer security is constantly evolving and may require specialist advice. </w:t>
      </w:r>
    </w:p>
    <w:p w14:paraId="06ECDBF7" w14:textId="77777777" w:rsidR="00AC3044" w:rsidRPr="00755359" w:rsidRDefault="00AC3044" w:rsidP="1C4AD231">
      <w:pPr>
        <w:ind w:left="720" w:right="58" w:firstLine="0"/>
        <w:rPr>
          <w:rFonts w:asciiTheme="minorHAnsi" w:hAnsiTheme="minorHAnsi" w:cstheme="minorBidi"/>
        </w:rPr>
      </w:pPr>
    </w:p>
    <w:p w14:paraId="3627A8BA" w14:textId="50BB434C" w:rsidR="00197F68" w:rsidRPr="00C64320" w:rsidRDefault="00BE1573" w:rsidP="00AA74A1">
      <w:pPr>
        <w:pStyle w:val="Heading3"/>
        <w:ind w:left="0" w:firstLine="0"/>
      </w:pPr>
      <w:r>
        <w:lastRenderedPageBreak/>
        <w:t>F1.7</w:t>
      </w:r>
      <w:r>
        <w:tab/>
      </w:r>
      <w:r w:rsidR="00B07E67" w:rsidRPr="30EF7DEB">
        <w:t xml:space="preserve">Accountability </w:t>
      </w:r>
    </w:p>
    <w:p w14:paraId="2A80C7C8" w14:textId="14A4C9D0" w:rsidR="00197F68" w:rsidRPr="00755359" w:rsidRDefault="00B07E67" w:rsidP="1C4AD231">
      <w:pPr>
        <w:ind w:left="720" w:right="58" w:firstLine="0"/>
        <w:rPr>
          <w:rFonts w:asciiTheme="minorHAnsi" w:hAnsiTheme="minorHAnsi" w:cstheme="minorBidi"/>
        </w:rPr>
      </w:pPr>
      <w:r w:rsidRPr="6A38A7B4">
        <w:rPr>
          <w:rFonts w:asciiTheme="minorHAnsi" w:hAnsiTheme="minorHAnsi" w:cstheme="minorBidi"/>
        </w:rPr>
        <w:t xml:space="preserve">The GDPR introduces a new </w:t>
      </w:r>
      <w:r w:rsidR="00331B63" w:rsidRPr="6A38A7B4">
        <w:rPr>
          <w:rFonts w:asciiTheme="minorHAnsi" w:hAnsiTheme="minorHAnsi" w:cstheme="minorBidi"/>
        </w:rPr>
        <w:t xml:space="preserve">principle which is the </w:t>
      </w:r>
      <w:r w:rsidRPr="6A38A7B4">
        <w:rPr>
          <w:rFonts w:asciiTheme="minorHAnsi" w:hAnsiTheme="minorHAnsi" w:cstheme="minorBidi"/>
        </w:rPr>
        <w:t xml:space="preserve">requirement for accountability; data controllers must be able to demonstrate that they are complying with the data protection principles and other requirements of the GDPR. It is essential therefore that researchers document any policies or procedures they adopt in order to comply with data protection requirements. Similarly, if they rely on consent as their legal basis for processing, they must be able to demonstrate that the individual has consented by maintaining a record of when consent was obtained, how it was given and what the individual was told at the time.  </w:t>
      </w:r>
    </w:p>
    <w:p w14:paraId="7555C382" w14:textId="77777777" w:rsidR="00E23D45" w:rsidRDefault="00B07E67" w:rsidP="1C4AD231">
      <w:pPr>
        <w:ind w:left="720" w:right="58" w:firstLine="0"/>
        <w:rPr>
          <w:rFonts w:asciiTheme="minorHAnsi" w:hAnsiTheme="minorHAnsi" w:cstheme="minorBidi"/>
        </w:rPr>
      </w:pPr>
      <w:r w:rsidRPr="1C4AD231">
        <w:rPr>
          <w:rFonts w:asciiTheme="minorHAnsi" w:hAnsiTheme="minorHAnsi" w:cstheme="minorBidi"/>
        </w:rPr>
        <w:t>As part of this emphasis on accountability, data controllers are also required to keep records of their processing activities, which will be subject to inspection by the ICO, particularly in the event of any security breach. These records must show the categories of data subject (from whom they collect the data), the categories of personal data (what types of data they collect), the categories of recipient (what other parties the data is shared with, if applicable), details of any transfers of personal data to a third country (</w:t>
      </w:r>
      <w:proofErr w:type="gramStart"/>
      <w:r w:rsidRPr="1C4AD231">
        <w:rPr>
          <w:rFonts w:asciiTheme="minorHAnsi" w:hAnsiTheme="minorHAnsi" w:cstheme="minorBidi"/>
        </w:rPr>
        <w:t>i.e.</w:t>
      </w:r>
      <w:proofErr w:type="gramEnd"/>
      <w:r w:rsidRPr="1C4AD231">
        <w:rPr>
          <w:rFonts w:asciiTheme="minorHAnsi" w:hAnsiTheme="minorHAnsi" w:cstheme="minorBidi"/>
        </w:rPr>
        <w:t xml:space="preserve"> outside the EU), the time limits for erasure, and a general description of security measures.  </w:t>
      </w:r>
    </w:p>
    <w:p w14:paraId="297CFFD3" w14:textId="523278EB"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Whilst it is expected that researchers will already keep detailed records as part of their normal data management responsibilities, they need to ensure that these are sufficient to satisfy the GDPR’s record-keeping requirements.  </w:t>
      </w:r>
    </w:p>
    <w:p w14:paraId="3B6F1606" w14:textId="43F45698" w:rsidR="00197F68" w:rsidRPr="00362FD0" w:rsidRDefault="00337147" w:rsidP="00AD6709">
      <w:pPr>
        <w:pStyle w:val="Heading2"/>
        <w:ind w:left="0"/>
      </w:pPr>
      <w:r w:rsidRPr="00852728">
        <w:t>F</w:t>
      </w:r>
      <w:r w:rsidR="005103E8" w:rsidRPr="00852728">
        <w:t>2</w:t>
      </w:r>
      <w:r>
        <w:tab/>
      </w:r>
      <w:r w:rsidR="00B07E67" w:rsidRPr="1C4AD231">
        <w:t xml:space="preserve">Appropriate safeguards </w:t>
      </w:r>
    </w:p>
    <w:p w14:paraId="7F896753" w14:textId="3DB35B80" w:rsidR="00604B7A"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The GDPR requires that organisations processing personal data for research purposes adopt technical and organisational measures to provide appropriate safeguards for the rights and freedoms of the data subject, and that those safeguards should ensure respect for the principle of data minimisation. </w:t>
      </w:r>
    </w:p>
    <w:p w14:paraId="2FACABE3" w14:textId="5F3B4315"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Pseudonymisation, where it would not undermine the function of the research, is mentioned as one example of an appropriate safeguard but in general the GDPR is not prescriptive as to what form the safeguards should take. However, the GDPR expects researchers to use anonymised or pseudonymised data if such data is sufficient for their purposes. It is particularly important therefore that researchers </w:t>
      </w:r>
      <w:proofErr w:type="gramStart"/>
      <w:r w:rsidRPr="1C4AD231">
        <w:rPr>
          <w:rFonts w:asciiTheme="minorHAnsi" w:hAnsiTheme="minorHAnsi" w:cstheme="minorBidi"/>
        </w:rPr>
        <w:t>are able to</w:t>
      </w:r>
      <w:proofErr w:type="gramEnd"/>
      <w:r w:rsidRPr="1C4AD231">
        <w:rPr>
          <w:rFonts w:asciiTheme="minorHAnsi" w:hAnsiTheme="minorHAnsi" w:cstheme="minorBidi"/>
        </w:rPr>
        <w:t xml:space="preserve"> demonstrate that they have given proper consideration to the question of whether they could achieve their objectives without the use of fully identifiable personal data.  </w:t>
      </w:r>
    </w:p>
    <w:p w14:paraId="0E4AF6CA" w14:textId="11C02F08" w:rsidR="00197F68" w:rsidRPr="00755359"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 xml:space="preserve">The Data Protection </w:t>
      </w:r>
      <w:r w:rsidR="00CE291C" w:rsidRPr="1C4AD231">
        <w:rPr>
          <w:rFonts w:asciiTheme="minorHAnsi" w:hAnsiTheme="minorHAnsi" w:cstheme="minorBidi"/>
        </w:rPr>
        <w:t>Act 2018</w:t>
      </w:r>
      <w:r w:rsidRPr="1C4AD231">
        <w:rPr>
          <w:rFonts w:asciiTheme="minorHAnsi" w:hAnsiTheme="minorHAnsi" w:cstheme="minorBidi"/>
        </w:rPr>
        <w:t xml:space="preserve"> supplements the GDPR by stipulating that the requirement for appropriate safeguards will not be met if the processing is likely to cause substantial damage or substantial distress to a data subject or if it forms the basis for decisions or measures relating to a particular individual. (The latter condition will not apply to interventional medical research that has been approved by a</w:t>
      </w:r>
      <w:r w:rsidR="0051444A" w:rsidRPr="1C4AD231">
        <w:rPr>
          <w:rFonts w:asciiTheme="minorHAnsi" w:hAnsiTheme="minorHAnsi" w:cstheme="minorBidi"/>
        </w:rPr>
        <w:t>n</w:t>
      </w:r>
      <w:r w:rsidRPr="1C4AD231">
        <w:rPr>
          <w:rFonts w:asciiTheme="minorHAnsi" w:hAnsiTheme="minorHAnsi" w:cstheme="minorBidi"/>
        </w:rPr>
        <w:t xml:space="preserve"> NHS Ethics Committee.) </w:t>
      </w:r>
    </w:p>
    <w:p w14:paraId="6CEA5642" w14:textId="77777777" w:rsidR="00197F68" w:rsidRPr="00755359" w:rsidRDefault="00B07E67">
      <w:pPr>
        <w:spacing w:after="0" w:line="259" w:lineRule="auto"/>
        <w:ind w:left="14" w:right="0" w:firstLine="0"/>
        <w:jc w:val="left"/>
        <w:rPr>
          <w:rFonts w:asciiTheme="minorHAnsi" w:hAnsiTheme="minorHAnsi" w:cstheme="minorHAnsi"/>
        </w:rPr>
      </w:pPr>
      <w:r w:rsidRPr="00755359">
        <w:rPr>
          <w:rFonts w:asciiTheme="minorHAnsi" w:hAnsiTheme="minorHAnsi" w:cstheme="minorHAnsi"/>
        </w:rPr>
        <w:t xml:space="preserve"> </w:t>
      </w:r>
    </w:p>
    <w:p w14:paraId="74FC08A0" w14:textId="08EAEFC6" w:rsidR="00197F68" w:rsidRPr="00C64320" w:rsidRDefault="00337147" w:rsidP="00AA74A1">
      <w:pPr>
        <w:pStyle w:val="Heading2"/>
        <w:ind w:left="0"/>
      </w:pPr>
      <w:r>
        <w:t>F</w:t>
      </w:r>
      <w:r w:rsidR="005103E8">
        <w:t>3</w:t>
      </w:r>
      <w:r>
        <w:tab/>
      </w:r>
      <w:r w:rsidR="00B07E67" w:rsidRPr="1C4AD231">
        <w:t xml:space="preserve">Data sharing agreements </w:t>
      </w:r>
    </w:p>
    <w:p w14:paraId="23C15192" w14:textId="3FD7E9DC" w:rsidR="00624C03"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 xml:space="preserve">At present, the ICO recommends as good practice that organisations that share personal data for specific purposes should have a </w:t>
      </w:r>
      <w:r w:rsidR="00624C03" w:rsidRPr="1C4AD231">
        <w:rPr>
          <w:rFonts w:asciiTheme="minorHAnsi" w:hAnsiTheme="minorHAnsi" w:cstheme="minorBidi"/>
        </w:rPr>
        <w:t xml:space="preserve">written </w:t>
      </w:r>
      <w:r w:rsidR="00782CFA" w:rsidRPr="1C4AD231">
        <w:rPr>
          <w:rFonts w:asciiTheme="minorHAnsi" w:hAnsiTheme="minorHAnsi" w:cstheme="minorBidi"/>
        </w:rPr>
        <w:t xml:space="preserve">data sharing </w:t>
      </w:r>
      <w:r w:rsidR="00624C03" w:rsidRPr="1C4AD231">
        <w:rPr>
          <w:rFonts w:asciiTheme="minorHAnsi" w:hAnsiTheme="minorHAnsi" w:cstheme="minorBidi"/>
        </w:rPr>
        <w:t>agreement</w:t>
      </w:r>
      <w:r w:rsidRPr="1C4AD231">
        <w:rPr>
          <w:rFonts w:asciiTheme="minorHAnsi" w:hAnsiTheme="minorHAnsi" w:cstheme="minorBidi"/>
        </w:rPr>
        <w:t xml:space="preserve"> in place setting out their respective roles and responsibilities</w:t>
      </w:r>
      <w:r w:rsidR="002426DB" w:rsidRPr="1C4AD231">
        <w:rPr>
          <w:rFonts w:asciiTheme="minorHAnsi" w:hAnsiTheme="minorHAnsi" w:cstheme="minorBidi"/>
        </w:rPr>
        <w:t xml:space="preserve"> for GDPR compliance</w:t>
      </w:r>
      <w:r w:rsidRPr="1C4AD231">
        <w:rPr>
          <w:rFonts w:asciiTheme="minorHAnsi" w:hAnsiTheme="minorHAnsi" w:cstheme="minorBidi"/>
        </w:rPr>
        <w:t>. Under the GDPR, it will be compulsory for joint data controllers (</w:t>
      </w:r>
      <w:proofErr w:type="gramStart"/>
      <w:r w:rsidRPr="1C4AD231">
        <w:rPr>
          <w:rFonts w:asciiTheme="minorHAnsi" w:hAnsiTheme="minorHAnsi" w:cstheme="minorBidi"/>
        </w:rPr>
        <w:t>i.e.</w:t>
      </w:r>
      <w:proofErr w:type="gramEnd"/>
      <w:r w:rsidRPr="1C4AD231">
        <w:rPr>
          <w:rFonts w:asciiTheme="minorHAnsi" w:hAnsiTheme="minorHAnsi" w:cstheme="minorBidi"/>
        </w:rPr>
        <w:t xml:space="preserve"> organisations that jointly decide how and why personal data should be used) to have such an agreement in place, and for this to indicate in particular their respective responsibilities in relation to data subjects, including which controller will be responsible for providing the prescribed information. </w:t>
      </w:r>
    </w:p>
    <w:p w14:paraId="536634D0" w14:textId="77777777" w:rsidR="00624C03" w:rsidRDefault="00624C03" w:rsidP="1C4AD231">
      <w:pPr>
        <w:spacing w:after="0"/>
        <w:ind w:left="720" w:right="58" w:firstLine="0"/>
        <w:rPr>
          <w:rFonts w:asciiTheme="minorHAnsi" w:hAnsiTheme="minorHAnsi" w:cstheme="minorBidi"/>
        </w:rPr>
      </w:pPr>
    </w:p>
    <w:p w14:paraId="03E3DCA3" w14:textId="5144E806" w:rsidR="00197F68" w:rsidRPr="00755359"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 xml:space="preserve">This requirement will affect any research project carried out in collaboration with other institutions where the purposes and means of processing are decided jointly. Researchers should seek advice from </w:t>
      </w:r>
      <w:r w:rsidR="003A235B" w:rsidRPr="1C4AD231">
        <w:rPr>
          <w:rFonts w:asciiTheme="minorHAnsi" w:hAnsiTheme="minorHAnsi" w:cstheme="minorBidi"/>
        </w:rPr>
        <w:t xml:space="preserve">the Legal and Information </w:t>
      </w:r>
      <w:r w:rsidR="00EB7371">
        <w:rPr>
          <w:rFonts w:asciiTheme="minorHAnsi" w:hAnsiTheme="minorHAnsi" w:cstheme="minorBidi"/>
        </w:rPr>
        <w:t xml:space="preserve">Governance </w:t>
      </w:r>
      <w:r w:rsidR="003A235B" w:rsidRPr="1C4AD231">
        <w:rPr>
          <w:rFonts w:asciiTheme="minorHAnsi" w:hAnsiTheme="minorHAnsi" w:cstheme="minorBidi"/>
        </w:rPr>
        <w:t>Teams</w:t>
      </w:r>
      <w:r w:rsidRPr="1C4AD231">
        <w:rPr>
          <w:rFonts w:asciiTheme="minorHAnsi" w:hAnsiTheme="minorHAnsi" w:cstheme="minorBidi"/>
        </w:rPr>
        <w:t xml:space="preserve"> with respect to all such agreements. </w:t>
      </w:r>
    </w:p>
    <w:p w14:paraId="57940C17" w14:textId="77777777" w:rsidR="00197F68" w:rsidRPr="00755359" w:rsidRDefault="00B07E67">
      <w:pPr>
        <w:spacing w:after="0" w:line="259" w:lineRule="auto"/>
        <w:ind w:left="14" w:right="0" w:firstLine="0"/>
        <w:jc w:val="left"/>
        <w:rPr>
          <w:rFonts w:asciiTheme="minorHAnsi" w:hAnsiTheme="minorHAnsi" w:cstheme="minorHAnsi"/>
        </w:rPr>
      </w:pPr>
      <w:r w:rsidRPr="00755359">
        <w:rPr>
          <w:rFonts w:asciiTheme="minorHAnsi" w:hAnsiTheme="minorHAnsi" w:cstheme="minorHAnsi"/>
        </w:rPr>
        <w:t xml:space="preserve"> </w:t>
      </w:r>
    </w:p>
    <w:p w14:paraId="65A0B501" w14:textId="1209E8F6" w:rsidR="00197F68" w:rsidRPr="00323916" w:rsidRDefault="00B07E67" w:rsidP="007A6C1B">
      <w:pPr>
        <w:pStyle w:val="Heading3"/>
        <w:numPr>
          <w:ilvl w:val="0"/>
          <w:numId w:val="16"/>
        </w:numPr>
      </w:pPr>
      <w:r w:rsidRPr="00323916">
        <w:t xml:space="preserve">Data processors </w:t>
      </w:r>
    </w:p>
    <w:p w14:paraId="614CE1B8" w14:textId="13D2C137" w:rsidR="00197F68" w:rsidRPr="00755359" w:rsidRDefault="00B07E67" w:rsidP="007A6C1B">
      <w:pPr>
        <w:spacing w:after="4" w:line="248" w:lineRule="auto"/>
        <w:ind w:left="720" w:right="0" w:firstLine="0"/>
        <w:rPr>
          <w:rFonts w:asciiTheme="minorHAnsi" w:hAnsiTheme="minorHAnsi" w:cstheme="minorBidi"/>
        </w:rPr>
      </w:pPr>
      <w:r w:rsidRPr="1C4AD231">
        <w:rPr>
          <w:rFonts w:asciiTheme="minorHAnsi" w:hAnsiTheme="minorHAnsi" w:cstheme="minorBidi"/>
        </w:rPr>
        <w:t xml:space="preserve">If a researcher is using a third party to collect or process personal data on its behalf (a ‘data processor’), it must have a written agreement with that third party.  The GDPR is quite prescriptive in terms of what </w:t>
      </w:r>
      <w:r w:rsidRPr="1C4AD231">
        <w:rPr>
          <w:rFonts w:asciiTheme="minorHAnsi" w:hAnsiTheme="minorHAnsi" w:cstheme="minorBidi"/>
        </w:rPr>
        <w:lastRenderedPageBreak/>
        <w:t xml:space="preserve">such a written agreement must say. Researchers should seek advice from </w:t>
      </w:r>
      <w:r w:rsidR="003D7048" w:rsidRPr="1C4AD231">
        <w:rPr>
          <w:rFonts w:asciiTheme="minorHAnsi" w:hAnsiTheme="minorHAnsi" w:cstheme="minorBidi"/>
        </w:rPr>
        <w:t xml:space="preserve">the Legal and Information </w:t>
      </w:r>
      <w:r w:rsidR="00EB7371">
        <w:rPr>
          <w:rFonts w:asciiTheme="minorHAnsi" w:hAnsiTheme="minorHAnsi" w:cstheme="minorBidi"/>
        </w:rPr>
        <w:t>Governance</w:t>
      </w:r>
      <w:r w:rsidR="003D7048" w:rsidRPr="1C4AD231">
        <w:rPr>
          <w:rFonts w:asciiTheme="minorHAnsi" w:hAnsiTheme="minorHAnsi" w:cstheme="minorBidi"/>
        </w:rPr>
        <w:t xml:space="preserve"> Teams</w:t>
      </w:r>
      <w:r w:rsidRPr="1C4AD231">
        <w:rPr>
          <w:rFonts w:asciiTheme="minorHAnsi" w:hAnsiTheme="minorHAnsi" w:cstheme="minorBidi"/>
        </w:rPr>
        <w:t xml:space="preserve"> with respect to all such agreements. </w:t>
      </w:r>
    </w:p>
    <w:p w14:paraId="5D7C416F" w14:textId="77777777" w:rsidR="00197F68" w:rsidRPr="00755359" w:rsidRDefault="00B07E67" w:rsidP="1C4AD231">
      <w:pPr>
        <w:spacing w:after="0" w:line="259" w:lineRule="auto"/>
        <w:ind w:left="720" w:right="0" w:firstLine="0"/>
        <w:jc w:val="left"/>
        <w:rPr>
          <w:rFonts w:asciiTheme="minorHAnsi" w:hAnsiTheme="minorHAnsi" w:cstheme="minorBidi"/>
        </w:rPr>
      </w:pPr>
      <w:r w:rsidRPr="1C4AD231">
        <w:rPr>
          <w:rFonts w:asciiTheme="minorHAnsi" w:hAnsiTheme="minorHAnsi" w:cstheme="minorBidi"/>
        </w:rPr>
        <w:t xml:space="preserve"> </w:t>
      </w:r>
    </w:p>
    <w:p w14:paraId="02E72741" w14:textId="7682E2B4" w:rsidR="00197F68" w:rsidRPr="00B61F48" w:rsidRDefault="00B07E67" w:rsidP="007A6C1B">
      <w:pPr>
        <w:pStyle w:val="Heading3"/>
        <w:numPr>
          <w:ilvl w:val="0"/>
          <w:numId w:val="16"/>
        </w:numPr>
      </w:pPr>
      <w:r w:rsidRPr="1C4AD231">
        <w:t>Data Protection Impact Assessments</w:t>
      </w:r>
    </w:p>
    <w:p w14:paraId="7F8EF75B" w14:textId="1A48196A" w:rsidR="004E5317"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 xml:space="preserve">Under </w:t>
      </w:r>
      <w:r w:rsidR="00940EE9" w:rsidRPr="1C4AD231">
        <w:rPr>
          <w:rFonts w:asciiTheme="minorHAnsi" w:hAnsiTheme="minorHAnsi" w:cstheme="minorBidi"/>
        </w:rPr>
        <w:t xml:space="preserve">Article 25 of </w:t>
      </w:r>
      <w:r w:rsidRPr="1C4AD231">
        <w:rPr>
          <w:rFonts w:asciiTheme="minorHAnsi" w:hAnsiTheme="minorHAnsi" w:cstheme="minorBidi"/>
        </w:rPr>
        <w:t xml:space="preserve">the GDPR, it </w:t>
      </w:r>
      <w:r w:rsidR="003D7048" w:rsidRPr="1C4AD231">
        <w:rPr>
          <w:rFonts w:asciiTheme="minorHAnsi" w:hAnsiTheme="minorHAnsi" w:cstheme="minorBidi"/>
        </w:rPr>
        <w:t>is</w:t>
      </w:r>
      <w:r w:rsidRPr="1C4AD231">
        <w:rPr>
          <w:rFonts w:asciiTheme="minorHAnsi" w:hAnsiTheme="minorHAnsi" w:cstheme="minorBidi"/>
        </w:rPr>
        <w:t xml:space="preserve"> compulsory to carry out a Data Protection Impact Assessment (“</w:t>
      </w:r>
      <w:r w:rsidRPr="1C4AD231">
        <w:rPr>
          <w:rFonts w:asciiTheme="minorHAnsi" w:hAnsiTheme="minorHAnsi" w:cstheme="minorBidi"/>
          <w:b/>
        </w:rPr>
        <w:t>DPIA</w:t>
      </w:r>
      <w:r w:rsidRPr="1C4AD231">
        <w:rPr>
          <w:rFonts w:asciiTheme="minorHAnsi" w:hAnsiTheme="minorHAnsi" w:cstheme="minorBidi"/>
        </w:rPr>
        <w:t xml:space="preserve">”) for any project that is likely to pose a ‘high risk’ to the rights and freedoms of individuals. (Such an assessment is part of the general requirement for ‘privacy by design/default’, whereby data protection requirements are to be embedded into systems and processes from the beginning.) </w:t>
      </w:r>
    </w:p>
    <w:p w14:paraId="66AA89FA" w14:textId="77777777" w:rsidR="004E5317" w:rsidRDefault="004E5317" w:rsidP="1C4AD231">
      <w:pPr>
        <w:spacing w:after="0"/>
        <w:ind w:left="720" w:right="58" w:firstLine="0"/>
        <w:rPr>
          <w:rFonts w:asciiTheme="minorHAnsi" w:hAnsiTheme="minorHAnsi" w:cstheme="minorBidi"/>
        </w:rPr>
      </w:pPr>
    </w:p>
    <w:p w14:paraId="78D9999D" w14:textId="42BFD62F" w:rsidR="00197F68" w:rsidRPr="00C366CE" w:rsidRDefault="00B07E67" w:rsidP="1C4AD231">
      <w:pPr>
        <w:spacing w:after="0"/>
        <w:ind w:left="720" w:right="58" w:firstLine="0"/>
        <w:rPr>
          <w:rFonts w:asciiTheme="minorHAnsi" w:hAnsiTheme="minorHAnsi" w:cstheme="minorBidi"/>
          <w:b/>
        </w:rPr>
      </w:pPr>
      <w:r w:rsidRPr="1C4AD231">
        <w:rPr>
          <w:rFonts w:asciiTheme="minorHAnsi" w:hAnsiTheme="minorHAnsi" w:cstheme="minorBidi"/>
        </w:rPr>
        <w:t xml:space="preserve">The GDPR does not define ‘high-risk’ but gives as one example the ‘large-scale’ processing of special category data. It is likely therefore that a DPIA will be required for some research projects, particularly those in the medical field. </w:t>
      </w:r>
      <w:r w:rsidRPr="1C4AD231">
        <w:rPr>
          <w:rFonts w:asciiTheme="minorHAnsi" w:hAnsiTheme="minorHAnsi" w:cstheme="minorBidi"/>
          <w:b/>
        </w:rPr>
        <w:t xml:space="preserve">Even if a full blown DPIA is not necessary, researchers need to be </w:t>
      </w:r>
      <w:r w:rsidR="00281A90" w:rsidRPr="1C4AD231">
        <w:rPr>
          <w:rFonts w:asciiTheme="minorHAnsi" w:hAnsiTheme="minorHAnsi" w:cstheme="minorBidi"/>
          <w:b/>
        </w:rPr>
        <w:t>able</w:t>
      </w:r>
      <w:r w:rsidRPr="1C4AD231">
        <w:rPr>
          <w:rFonts w:asciiTheme="minorHAnsi" w:hAnsiTheme="minorHAnsi" w:cstheme="minorBidi"/>
          <w:b/>
        </w:rPr>
        <w:t xml:space="preserve"> to demonstrate that they have proactively addressed </w:t>
      </w:r>
      <w:r w:rsidR="002E2AE2" w:rsidRPr="1C4AD231">
        <w:rPr>
          <w:rFonts w:asciiTheme="minorHAnsi" w:hAnsiTheme="minorHAnsi" w:cstheme="minorBidi"/>
          <w:b/>
        </w:rPr>
        <w:t xml:space="preserve">all </w:t>
      </w:r>
      <w:r w:rsidRPr="1C4AD231">
        <w:rPr>
          <w:rFonts w:asciiTheme="minorHAnsi" w:hAnsiTheme="minorHAnsi" w:cstheme="minorBidi"/>
          <w:b/>
        </w:rPr>
        <w:t xml:space="preserve">the data protection </w:t>
      </w:r>
      <w:r w:rsidR="002E2AE2" w:rsidRPr="1C4AD231">
        <w:rPr>
          <w:rFonts w:asciiTheme="minorHAnsi" w:hAnsiTheme="minorHAnsi" w:cstheme="minorBidi"/>
          <w:b/>
        </w:rPr>
        <w:t xml:space="preserve">principles </w:t>
      </w:r>
      <w:r w:rsidRPr="1C4AD231">
        <w:rPr>
          <w:rFonts w:asciiTheme="minorHAnsi" w:hAnsiTheme="minorHAnsi" w:cstheme="minorBidi"/>
          <w:b/>
        </w:rPr>
        <w:t>implications of their projects, in order to comply with the requirements for accountability and privacy by design.</w:t>
      </w:r>
    </w:p>
    <w:p w14:paraId="14BD7F0D" w14:textId="30B366B2" w:rsidR="33AD9453" w:rsidRDefault="33AD9453" w:rsidP="33AD9453">
      <w:pPr>
        <w:spacing w:after="0"/>
        <w:ind w:left="9" w:right="58"/>
        <w:rPr>
          <w:rFonts w:asciiTheme="minorHAnsi" w:hAnsiTheme="minorHAnsi" w:cstheme="minorBidi"/>
        </w:rPr>
      </w:pPr>
    </w:p>
    <w:p w14:paraId="1202868C" w14:textId="6859D00A" w:rsidR="00197F68" w:rsidRPr="00B61F48" w:rsidRDefault="00B07E67" w:rsidP="00AA2AB8">
      <w:pPr>
        <w:pStyle w:val="Heading1"/>
      </w:pPr>
      <w:bookmarkStart w:id="9" w:name="_G._Can_personal"/>
      <w:bookmarkEnd w:id="9"/>
      <w:r w:rsidRPr="1C4AD231">
        <w:rPr>
          <w:bCs/>
        </w:rPr>
        <w:t>G</w:t>
      </w:r>
      <w:bookmarkStart w:id="10" w:name="Bookmark8"/>
      <w:r w:rsidRPr="1C4AD231">
        <w:rPr>
          <w:bCs/>
        </w:rPr>
        <w:t>.</w:t>
      </w:r>
      <w:r w:rsidR="00C24918">
        <w:rPr>
          <w:rFonts w:eastAsia="Arial"/>
          <w:bCs/>
        </w:rPr>
        <w:tab/>
      </w:r>
      <w:r w:rsidRPr="469E9F8D">
        <w:t>Can personal data be transferred to a country or territory outside the EEA?</w:t>
      </w:r>
      <w:bookmarkEnd w:id="10"/>
      <w:r w:rsidRPr="469E9F8D">
        <w:t xml:space="preserve"> </w:t>
      </w:r>
    </w:p>
    <w:p w14:paraId="05F061A9" w14:textId="77777777"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There is a general prohibition on transfers of personal data outside of the EEA unless these transfers are subject to quite narrowly prescribed conditions and safeguards.  </w:t>
      </w:r>
    </w:p>
    <w:p w14:paraId="71DF37BB" w14:textId="124D9665" w:rsidR="00197F68" w:rsidRPr="00755359" w:rsidRDefault="00B07E67" w:rsidP="1C4AD231">
      <w:pPr>
        <w:ind w:left="720" w:right="58" w:firstLine="0"/>
        <w:rPr>
          <w:rFonts w:asciiTheme="minorHAnsi" w:hAnsiTheme="minorHAnsi" w:cstheme="minorBidi"/>
        </w:rPr>
      </w:pPr>
      <w:r w:rsidRPr="33AD9453">
        <w:rPr>
          <w:rFonts w:asciiTheme="minorHAnsi" w:hAnsiTheme="minorHAnsi" w:cstheme="minorBidi"/>
        </w:rPr>
        <w:t xml:space="preserve">The </w:t>
      </w:r>
      <w:r w:rsidR="0FC2DACB"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 xml:space="preserve"> clearly works with many organisations in countries and territories which fall outside of this region, but this does </w:t>
      </w:r>
      <w:r w:rsidRPr="33AD9453">
        <w:rPr>
          <w:rFonts w:asciiTheme="minorHAnsi" w:hAnsiTheme="minorHAnsi" w:cstheme="minorBidi"/>
          <w:sz w:val="21"/>
          <w:szCs w:val="21"/>
        </w:rPr>
        <w:t>not</w:t>
      </w:r>
      <w:r w:rsidRPr="33AD9453">
        <w:rPr>
          <w:rFonts w:asciiTheme="minorHAnsi" w:hAnsiTheme="minorHAnsi" w:cstheme="minorBidi"/>
        </w:rPr>
        <w:t xml:space="preserve"> mean that the </w:t>
      </w:r>
      <w:r w:rsidR="1794D031"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 xml:space="preserve"> cannot supply, or provide access to, personal data to organisations in those countries. It does, however, mean that researchers need to comply with the </w:t>
      </w:r>
      <w:r w:rsidR="002E6676" w:rsidRPr="33AD9453">
        <w:rPr>
          <w:rFonts w:asciiTheme="minorHAnsi" w:hAnsiTheme="minorHAnsi" w:cstheme="minorBidi"/>
        </w:rPr>
        <w:t xml:space="preserve">GDPR </w:t>
      </w:r>
      <w:r w:rsidRPr="33AD9453">
        <w:rPr>
          <w:rFonts w:asciiTheme="minorHAnsi" w:hAnsiTheme="minorHAnsi" w:cstheme="minorBidi"/>
        </w:rPr>
        <w:t xml:space="preserve">conditions for transferring personal data to such countries and territories. </w:t>
      </w:r>
    </w:p>
    <w:p w14:paraId="1B69E8A3" w14:textId="4CE8C5B3" w:rsidR="00197F68" w:rsidRDefault="00B07E67" w:rsidP="1C4AD231">
      <w:pPr>
        <w:ind w:left="720" w:right="58" w:firstLine="0"/>
        <w:rPr>
          <w:rFonts w:asciiTheme="minorHAnsi" w:hAnsiTheme="minorHAnsi" w:cstheme="minorBidi"/>
        </w:rPr>
      </w:pPr>
      <w:r w:rsidRPr="33AD9453">
        <w:rPr>
          <w:rFonts w:asciiTheme="minorHAnsi" w:hAnsiTheme="minorHAnsi" w:cstheme="minorBidi"/>
        </w:rPr>
        <w:t xml:space="preserve">Please note that if you move to another institution which is located outside the EEA, and the </w:t>
      </w:r>
      <w:r w:rsidR="4FBB0C2B"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 xml:space="preserve"> has permitted you to take research data with you, this will count as a transfer of data.  </w:t>
      </w:r>
    </w:p>
    <w:p w14:paraId="368FF652" w14:textId="15939DFF" w:rsidR="00C366CE" w:rsidRDefault="00C366CE" w:rsidP="007A6C1B">
      <w:pPr>
        <w:pStyle w:val="ListParagraph"/>
        <w:numPr>
          <w:ilvl w:val="0"/>
          <w:numId w:val="9"/>
        </w:numPr>
        <w:ind w:right="58"/>
        <w:rPr>
          <w:rFonts w:asciiTheme="minorHAnsi" w:hAnsiTheme="minorHAnsi" w:cstheme="minorBidi"/>
        </w:rPr>
      </w:pPr>
      <w:r w:rsidRPr="1C4AD231">
        <w:rPr>
          <w:rFonts w:asciiTheme="minorHAnsi" w:hAnsiTheme="minorHAnsi" w:cstheme="minorBidi"/>
        </w:rPr>
        <w:t>On 2 February 2022, the UK’s new International Data Transfer Agreement (“IDTA”), and new International Data Transfer Addendum (the “UK Addendum”) to the European Commission’s new standard contractual clauses (the “new EU SCCs”) were laid before Parliament, along with related transitional provisions.  The documents were issued under Section 119A of the Data Protection Act 2018 and following Parliamentary approval came into force on 21 March 2022.</w:t>
      </w:r>
    </w:p>
    <w:p w14:paraId="5B20F6A2" w14:textId="77777777" w:rsidR="004B016A" w:rsidRDefault="004B016A" w:rsidP="004B016A">
      <w:pPr>
        <w:pStyle w:val="ListParagraph"/>
        <w:ind w:left="1079" w:right="58" w:firstLine="0"/>
        <w:rPr>
          <w:rFonts w:asciiTheme="minorHAnsi" w:hAnsiTheme="minorHAnsi" w:cstheme="minorBidi"/>
        </w:rPr>
      </w:pPr>
    </w:p>
    <w:p w14:paraId="1F66B0BA" w14:textId="6D3EFB32" w:rsidR="00952B03" w:rsidRDefault="00C366CE" w:rsidP="007A6C1B">
      <w:pPr>
        <w:pStyle w:val="ListParagraph"/>
        <w:numPr>
          <w:ilvl w:val="0"/>
          <w:numId w:val="9"/>
        </w:numPr>
        <w:spacing w:after="0" w:line="240" w:lineRule="auto"/>
        <w:ind w:left="1077" w:right="57" w:hanging="357"/>
        <w:rPr>
          <w:rFonts w:asciiTheme="minorHAnsi" w:hAnsiTheme="minorHAnsi" w:cstheme="minorBidi"/>
        </w:rPr>
      </w:pPr>
      <w:r w:rsidRPr="1C4AD231">
        <w:rPr>
          <w:rFonts w:asciiTheme="minorHAnsi" w:hAnsiTheme="minorHAnsi" w:cstheme="minorBidi"/>
        </w:rPr>
        <w:t>The IDTA and the UK Addendum are essentially the “UK version” of the new EU Standard Contractual Clauses SCCs. The IDTA and Addendum replaced standard contractual clauses for international transfers.</w:t>
      </w:r>
    </w:p>
    <w:p w14:paraId="2437916C" w14:textId="77777777" w:rsidR="00952B03" w:rsidRPr="00952B03" w:rsidRDefault="00952B03" w:rsidP="00952B03">
      <w:pPr>
        <w:spacing w:after="0" w:line="240" w:lineRule="auto"/>
        <w:ind w:left="0" w:right="57" w:firstLine="0"/>
        <w:rPr>
          <w:rFonts w:asciiTheme="minorHAnsi" w:hAnsiTheme="minorHAnsi" w:cstheme="minorBidi"/>
        </w:rPr>
      </w:pPr>
    </w:p>
    <w:p w14:paraId="1486C61F" w14:textId="404A8621" w:rsidR="00C366CE" w:rsidRPr="00C366CE" w:rsidRDefault="00C366CE" w:rsidP="007A6C1B">
      <w:pPr>
        <w:pStyle w:val="ListParagraph"/>
        <w:numPr>
          <w:ilvl w:val="0"/>
          <w:numId w:val="9"/>
        </w:numPr>
        <w:ind w:right="58"/>
        <w:rPr>
          <w:rFonts w:asciiTheme="minorHAnsi" w:hAnsiTheme="minorHAnsi" w:cstheme="minorBidi"/>
        </w:rPr>
      </w:pPr>
      <w:r w:rsidRPr="33AD9453">
        <w:rPr>
          <w:rFonts w:asciiTheme="minorHAnsi" w:hAnsiTheme="minorHAnsi" w:cstheme="minorBidi"/>
        </w:rPr>
        <w:t>The university will be able to use the IDTA or the UK Addendum as a transfer mechanism to comply with the requirement under Art. 46 of the UK GDPR to provide “appropriate safeguards” for personal data when it is transferred from the UK to countries which are not covered by the UK’s “adequacy regulations”.</w:t>
      </w:r>
    </w:p>
    <w:p w14:paraId="2EC1379D" w14:textId="11ED7C9A" w:rsidR="00197F68" w:rsidRPr="00755359" w:rsidRDefault="00C366CE" w:rsidP="1C4AD231">
      <w:pPr>
        <w:ind w:left="720" w:right="58" w:firstLine="0"/>
        <w:rPr>
          <w:rFonts w:asciiTheme="minorHAnsi" w:hAnsiTheme="minorHAnsi" w:cstheme="minorBidi"/>
        </w:rPr>
      </w:pPr>
      <w:r w:rsidRPr="06E08850">
        <w:rPr>
          <w:rFonts w:asciiTheme="minorHAnsi" w:hAnsiTheme="minorHAnsi" w:cstheme="minorBidi"/>
        </w:rPr>
        <w:t>R</w:t>
      </w:r>
      <w:r w:rsidR="00B07E67" w:rsidRPr="06E08850">
        <w:rPr>
          <w:rFonts w:asciiTheme="minorHAnsi" w:hAnsiTheme="minorHAnsi" w:cstheme="minorBidi"/>
        </w:rPr>
        <w:t xml:space="preserve">esearchers should seek advice from </w:t>
      </w:r>
      <w:r w:rsidR="7A7FF211" w:rsidRPr="06E08850">
        <w:rPr>
          <w:rFonts w:asciiTheme="minorHAnsi" w:hAnsiTheme="minorHAnsi" w:cstheme="minorBidi"/>
        </w:rPr>
        <w:t xml:space="preserve">the </w:t>
      </w:r>
      <w:r w:rsidR="00B07E67" w:rsidRPr="1C4AD231">
        <w:rPr>
          <w:rFonts w:asciiTheme="minorHAnsi" w:hAnsiTheme="minorHAnsi" w:cstheme="minorBidi"/>
        </w:rPr>
        <w:t xml:space="preserve">Research </w:t>
      </w:r>
      <w:r w:rsidR="71576A91" w:rsidRPr="1C4AD231">
        <w:rPr>
          <w:rFonts w:asciiTheme="minorHAnsi" w:hAnsiTheme="minorHAnsi" w:cstheme="minorBidi"/>
        </w:rPr>
        <w:t xml:space="preserve">and Innovation Team (particularly Research Development Managers), </w:t>
      </w:r>
      <w:r w:rsidR="00B07E67" w:rsidRPr="28E361A2">
        <w:rPr>
          <w:rFonts w:asciiTheme="minorHAnsi" w:hAnsiTheme="minorHAnsi" w:cstheme="minorBidi"/>
        </w:rPr>
        <w:t xml:space="preserve">for advice on all research-related agreements, including when seeking to legitimise transfers of personal data outside the EEA </w:t>
      </w:r>
      <w:r w:rsidR="009033B6" w:rsidRPr="28E361A2">
        <w:rPr>
          <w:rFonts w:asciiTheme="minorHAnsi" w:hAnsiTheme="minorHAnsi" w:cstheme="minorBidi"/>
        </w:rPr>
        <w:t xml:space="preserve">using </w:t>
      </w:r>
      <w:r w:rsidR="005F58D3" w:rsidRPr="28E361A2">
        <w:rPr>
          <w:rFonts w:asciiTheme="minorHAnsi" w:hAnsiTheme="minorHAnsi" w:cstheme="minorBidi"/>
        </w:rPr>
        <w:t xml:space="preserve">IDTA </w:t>
      </w:r>
      <w:r w:rsidR="009033B6" w:rsidRPr="28E361A2">
        <w:rPr>
          <w:rFonts w:asciiTheme="minorHAnsi" w:hAnsiTheme="minorHAnsi" w:cstheme="minorBidi"/>
        </w:rPr>
        <w:t xml:space="preserve">risk assessments and </w:t>
      </w:r>
      <w:r w:rsidR="00B07E67" w:rsidRPr="28E361A2">
        <w:rPr>
          <w:rFonts w:asciiTheme="minorHAnsi" w:hAnsiTheme="minorHAnsi" w:cstheme="minorBidi"/>
        </w:rPr>
        <w:t xml:space="preserve">under </w:t>
      </w:r>
      <w:r w:rsidR="005F58D3" w:rsidRPr="28E361A2">
        <w:rPr>
          <w:rFonts w:asciiTheme="minorHAnsi" w:hAnsiTheme="minorHAnsi" w:cstheme="minorBidi"/>
        </w:rPr>
        <w:t xml:space="preserve">UK </w:t>
      </w:r>
      <w:r w:rsidR="00B07E67" w:rsidRPr="28E361A2">
        <w:rPr>
          <w:rFonts w:asciiTheme="minorHAnsi" w:hAnsiTheme="minorHAnsi" w:cstheme="minorBidi"/>
        </w:rPr>
        <w:t xml:space="preserve">standard contractual clauses.  </w:t>
      </w:r>
    </w:p>
    <w:p w14:paraId="457F4000" w14:textId="3F31B7AC" w:rsidR="00197F68" w:rsidRPr="00F24E4F" w:rsidRDefault="00B07E67" w:rsidP="000D3411">
      <w:pPr>
        <w:pStyle w:val="Heading2"/>
      </w:pPr>
      <w:r w:rsidRPr="1C4AD231">
        <w:t xml:space="preserve">Cloud service providers </w:t>
      </w:r>
    </w:p>
    <w:p w14:paraId="771FA232" w14:textId="24D22654" w:rsidR="003869C0" w:rsidRDefault="00B07E67" w:rsidP="1C4AD231">
      <w:pPr>
        <w:spacing w:after="0" w:line="239" w:lineRule="auto"/>
        <w:ind w:left="720" w:right="63" w:firstLine="0"/>
        <w:rPr>
          <w:rFonts w:asciiTheme="minorHAnsi" w:hAnsiTheme="minorHAnsi" w:cstheme="minorBidi"/>
          <w:color w:val="333333"/>
        </w:rPr>
      </w:pPr>
      <w:r w:rsidRPr="33AD9453">
        <w:rPr>
          <w:rFonts w:asciiTheme="minorHAnsi" w:hAnsiTheme="minorHAnsi" w:cstheme="minorBidi"/>
          <w:color w:val="333333"/>
        </w:rPr>
        <w:t xml:space="preserve">Researchers need to bear in mind that using international cloud-based services </w:t>
      </w:r>
      <w:proofErr w:type="gramStart"/>
      <w:r w:rsidRPr="33AD9453">
        <w:rPr>
          <w:rFonts w:asciiTheme="minorHAnsi" w:hAnsiTheme="minorHAnsi" w:cstheme="minorBidi"/>
          <w:color w:val="333333"/>
        </w:rPr>
        <w:t>e.g.</w:t>
      </w:r>
      <w:proofErr w:type="gramEnd"/>
      <w:r w:rsidRPr="33AD9453">
        <w:rPr>
          <w:rFonts w:asciiTheme="minorHAnsi" w:hAnsiTheme="minorHAnsi" w:cstheme="minorBidi"/>
          <w:color w:val="333333"/>
        </w:rPr>
        <w:t xml:space="preserve"> Dropbox, may involve a transfer of personal data outside the EEA</w:t>
      </w:r>
      <w:r w:rsidR="00C17F0D" w:rsidRPr="33AD9453">
        <w:rPr>
          <w:rFonts w:asciiTheme="minorHAnsi" w:hAnsiTheme="minorHAnsi" w:cstheme="minorBidi"/>
          <w:color w:val="333333"/>
        </w:rPr>
        <w:t xml:space="preserve"> and</w:t>
      </w:r>
      <w:r w:rsidRPr="33AD9453">
        <w:rPr>
          <w:rFonts w:asciiTheme="minorHAnsi" w:hAnsiTheme="minorHAnsi" w:cstheme="minorBidi"/>
          <w:color w:val="333333"/>
        </w:rPr>
        <w:t xml:space="preserve"> it may not be appropriate to use such a service, since the terms and conditions are unlikely to be sufficient to enable the </w:t>
      </w:r>
      <w:r w:rsidR="666E582E" w:rsidRPr="33AD9453">
        <w:rPr>
          <w:rFonts w:asciiTheme="minorHAnsi" w:hAnsiTheme="minorHAnsi" w:cstheme="minorBidi"/>
          <w:color w:val="333333"/>
        </w:rPr>
        <w:t>university</w:t>
      </w:r>
      <w:r w:rsidRPr="33AD9453">
        <w:rPr>
          <w:rFonts w:asciiTheme="minorHAnsi" w:hAnsiTheme="minorHAnsi" w:cstheme="minorBidi"/>
          <w:color w:val="333333"/>
        </w:rPr>
        <w:t xml:space="preserve"> to meet its obligations under the GDPR. </w:t>
      </w:r>
    </w:p>
    <w:p w14:paraId="3CCD9E9A" w14:textId="77777777" w:rsidR="003869C0" w:rsidRDefault="003869C0" w:rsidP="1C4AD231">
      <w:pPr>
        <w:spacing w:after="0" w:line="239" w:lineRule="auto"/>
        <w:ind w:left="720" w:right="63" w:firstLine="0"/>
        <w:rPr>
          <w:rFonts w:asciiTheme="minorHAnsi" w:hAnsiTheme="minorHAnsi" w:cstheme="minorBidi"/>
          <w:color w:val="333333"/>
        </w:rPr>
      </w:pPr>
    </w:p>
    <w:p w14:paraId="76AF1213" w14:textId="192B25EC" w:rsidR="00760AA8" w:rsidRDefault="51DD6479" w:rsidP="1C4AD231">
      <w:pPr>
        <w:spacing w:after="0" w:line="239" w:lineRule="auto"/>
        <w:ind w:left="720" w:right="63" w:firstLine="0"/>
        <w:rPr>
          <w:rFonts w:asciiTheme="minorHAnsi" w:hAnsiTheme="minorHAnsi" w:cstheme="minorBidi"/>
          <w:color w:val="333333"/>
        </w:rPr>
      </w:pPr>
      <w:r w:rsidRPr="6A38A7B4">
        <w:rPr>
          <w:rFonts w:asciiTheme="minorHAnsi" w:hAnsiTheme="minorHAnsi" w:cstheme="minorBidi"/>
          <w:color w:val="333333"/>
        </w:rPr>
        <w:t xml:space="preserve">Where you </w:t>
      </w:r>
      <w:r w:rsidR="00B07E67" w:rsidRPr="6A38A7B4">
        <w:rPr>
          <w:rFonts w:asciiTheme="minorHAnsi" w:hAnsiTheme="minorHAnsi" w:cstheme="minorBidi"/>
          <w:color w:val="333333"/>
        </w:rPr>
        <w:t>sign up to a cloud service in your role as a member of staff,</w:t>
      </w:r>
      <w:r w:rsidR="0414D8A3" w:rsidRPr="6A38A7B4">
        <w:rPr>
          <w:rFonts w:asciiTheme="minorHAnsi" w:hAnsiTheme="minorHAnsi" w:cstheme="minorBidi"/>
          <w:color w:val="333333"/>
        </w:rPr>
        <w:t xml:space="preserve"> please ensure it has </w:t>
      </w:r>
      <w:r w:rsidR="7D9D167A" w:rsidRPr="6A38A7B4">
        <w:rPr>
          <w:rFonts w:asciiTheme="minorHAnsi" w:hAnsiTheme="minorHAnsi" w:cstheme="minorBidi"/>
          <w:color w:val="333333"/>
        </w:rPr>
        <w:t>been approved</w:t>
      </w:r>
      <w:r w:rsidR="0414D8A3" w:rsidRPr="6A38A7B4">
        <w:rPr>
          <w:rFonts w:asciiTheme="minorHAnsi" w:hAnsiTheme="minorHAnsi" w:cstheme="minorBidi"/>
          <w:color w:val="333333"/>
        </w:rPr>
        <w:t xml:space="preserve"> b</w:t>
      </w:r>
      <w:r w:rsidR="2AAF7F08" w:rsidRPr="6A38A7B4">
        <w:rPr>
          <w:rFonts w:asciiTheme="minorHAnsi" w:hAnsiTheme="minorHAnsi" w:cstheme="minorBidi"/>
          <w:color w:val="333333"/>
        </w:rPr>
        <w:t>y IT services</w:t>
      </w:r>
      <w:r w:rsidR="03F171AE" w:rsidRPr="6A38A7B4">
        <w:rPr>
          <w:rFonts w:asciiTheme="minorHAnsi" w:hAnsiTheme="minorHAnsi" w:cstheme="minorBidi"/>
          <w:color w:val="333333"/>
        </w:rPr>
        <w:t xml:space="preserve">, </w:t>
      </w:r>
      <w:r w:rsidR="0414D8A3" w:rsidRPr="6A38A7B4">
        <w:rPr>
          <w:rFonts w:asciiTheme="minorHAnsi" w:hAnsiTheme="minorHAnsi" w:cstheme="minorBidi"/>
          <w:color w:val="333333"/>
        </w:rPr>
        <w:t xml:space="preserve">as </w:t>
      </w:r>
      <w:r w:rsidR="00B07E67" w:rsidRPr="6A38A7B4">
        <w:rPr>
          <w:rFonts w:asciiTheme="minorHAnsi" w:hAnsiTheme="minorHAnsi" w:cstheme="minorBidi"/>
          <w:color w:val="333333"/>
        </w:rPr>
        <w:t xml:space="preserve">you may be binding the </w:t>
      </w:r>
      <w:r w:rsidR="666E582E" w:rsidRPr="33AD9453">
        <w:rPr>
          <w:rFonts w:asciiTheme="minorHAnsi" w:hAnsiTheme="minorHAnsi" w:cstheme="minorBidi"/>
          <w:color w:val="333333"/>
        </w:rPr>
        <w:t>university</w:t>
      </w:r>
      <w:r w:rsidR="00B07E67" w:rsidRPr="6A38A7B4">
        <w:rPr>
          <w:rFonts w:asciiTheme="minorHAnsi" w:hAnsiTheme="minorHAnsi" w:cstheme="minorBidi"/>
          <w:color w:val="333333"/>
        </w:rPr>
        <w:t xml:space="preserve">, and not just yourself, to the cloud service's contractual terms. The risks will be greater where the personal data involved is confidential </w:t>
      </w:r>
      <w:r w:rsidR="00B07E67" w:rsidRPr="6A38A7B4">
        <w:rPr>
          <w:rFonts w:asciiTheme="minorHAnsi" w:hAnsiTheme="minorHAnsi" w:cstheme="minorBidi"/>
          <w:color w:val="333333"/>
        </w:rPr>
        <w:lastRenderedPageBreak/>
        <w:t xml:space="preserve">or sensitive. You therefore need to think carefully about whether you could use an alternative service that complies fully with the GDPR or whether you could use the service without sharing personal data. </w:t>
      </w:r>
    </w:p>
    <w:p w14:paraId="14547D5C" w14:textId="15A493FE" w:rsidR="33AD9453" w:rsidRDefault="33AD9453" w:rsidP="33AD9453">
      <w:pPr>
        <w:spacing w:after="0" w:line="239" w:lineRule="auto"/>
        <w:ind w:left="14" w:right="63" w:firstLine="0"/>
        <w:rPr>
          <w:rFonts w:asciiTheme="minorHAnsi" w:hAnsiTheme="minorHAnsi" w:cstheme="minorBidi"/>
        </w:rPr>
      </w:pPr>
    </w:p>
    <w:p w14:paraId="1B76306D" w14:textId="394DF869" w:rsidR="00197F68" w:rsidRPr="00760AA8" w:rsidRDefault="00B07E67" w:rsidP="00337147">
      <w:pPr>
        <w:pStyle w:val="Heading1"/>
      </w:pPr>
      <w:bookmarkStart w:id="11" w:name="_H.__Are"/>
      <w:bookmarkStart w:id="12" w:name="Bookmark9"/>
      <w:bookmarkEnd w:id="11"/>
      <w:r w:rsidRPr="469E9F8D">
        <w:t>H.</w:t>
      </w:r>
      <w:r w:rsidRPr="469E9F8D">
        <w:rPr>
          <w:rFonts w:eastAsia="Arial"/>
        </w:rPr>
        <w:t xml:space="preserve"> </w:t>
      </w:r>
      <w:r>
        <w:tab/>
      </w:r>
      <w:r w:rsidRPr="469E9F8D">
        <w:t xml:space="preserve">Are there any relevant exemptions? </w:t>
      </w:r>
      <w:bookmarkEnd w:id="12"/>
    </w:p>
    <w:p w14:paraId="202C7B8C" w14:textId="77777777" w:rsidR="00197F68" w:rsidRPr="00755359"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There are a number of exemptions from specific duties and obligations granted to processing that is carried out for the sole purpose of research.</w:t>
      </w:r>
      <w:r w:rsidRPr="1C4AD231">
        <w:rPr>
          <w:rFonts w:asciiTheme="minorHAnsi" w:hAnsiTheme="minorHAnsi" w:cstheme="minorBidi"/>
          <w:b/>
        </w:rPr>
        <w:t xml:space="preserve"> </w:t>
      </w:r>
      <w:r w:rsidRPr="1C4AD231">
        <w:rPr>
          <w:rFonts w:asciiTheme="minorHAnsi" w:hAnsiTheme="minorHAnsi" w:cstheme="minorBidi"/>
        </w:rPr>
        <w:t xml:space="preserve">Some of these exemptions have been discussed above in the relevant sections to which they pertain. </w:t>
      </w:r>
    </w:p>
    <w:p w14:paraId="658C7B4E" w14:textId="77777777" w:rsidR="00197F68" w:rsidRPr="00755359" w:rsidRDefault="00B07E67">
      <w:pPr>
        <w:spacing w:after="0" w:line="259" w:lineRule="auto"/>
        <w:ind w:left="14" w:right="0" w:firstLine="0"/>
        <w:jc w:val="left"/>
        <w:rPr>
          <w:rFonts w:asciiTheme="minorHAnsi" w:hAnsiTheme="minorHAnsi" w:cstheme="minorHAnsi"/>
        </w:rPr>
      </w:pPr>
      <w:r w:rsidRPr="00755359">
        <w:rPr>
          <w:rFonts w:asciiTheme="minorHAnsi" w:hAnsiTheme="minorHAnsi" w:cstheme="minorHAnsi"/>
        </w:rPr>
        <w:t xml:space="preserve"> </w:t>
      </w:r>
    </w:p>
    <w:p w14:paraId="59634A2F" w14:textId="0B06AB55" w:rsidR="00197F68" w:rsidRPr="00F24E4F" w:rsidRDefault="00B07E67" w:rsidP="007A6C1B">
      <w:pPr>
        <w:pStyle w:val="Heading2"/>
        <w:numPr>
          <w:ilvl w:val="0"/>
          <w:numId w:val="15"/>
        </w:numPr>
      </w:pPr>
      <w:r w:rsidRPr="1C4AD231">
        <w:t xml:space="preserve">Reuse of personal data for research </w:t>
      </w:r>
    </w:p>
    <w:p w14:paraId="5121C7A9" w14:textId="5537F9A5" w:rsidR="00197F68" w:rsidRPr="00755359" w:rsidRDefault="00B07E67" w:rsidP="1C4AD231">
      <w:pPr>
        <w:spacing w:after="235"/>
        <w:ind w:left="720" w:right="58" w:firstLine="0"/>
        <w:rPr>
          <w:rFonts w:asciiTheme="minorHAnsi" w:hAnsiTheme="minorHAnsi" w:cstheme="minorBidi"/>
        </w:rPr>
      </w:pPr>
      <w:r w:rsidRPr="1C4AD231">
        <w:rPr>
          <w:rFonts w:asciiTheme="minorHAnsi" w:hAnsiTheme="minorHAnsi" w:cstheme="minorBidi"/>
        </w:rPr>
        <w:t xml:space="preserve">Whilst under the second data protection principle, the further processing of personal data is stated as only being allowed where it is compatible with the purposes for which it was originally collected, the GDPR provides a presumption that research is compatible with the purposes for which the data was obtained. Care must still be taken to ensure that </w:t>
      </w:r>
      <w:r>
        <w:tab/>
      </w:r>
      <w:r w:rsidRPr="1C4AD231">
        <w:rPr>
          <w:rFonts w:asciiTheme="minorHAnsi" w:hAnsiTheme="minorHAnsi" w:cstheme="minorBidi"/>
        </w:rPr>
        <w:t xml:space="preserve">any further use is compliant with all other relevant obligations under the GDPR </w:t>
      </w:r>
      <w:proofErr w:type="gramStart"/>
      <w:r w:rsidRPr="1C4AD231">
        <w:rPr>
          <w:rFonts w:asciiTheme="minorHAnsi" w:hAnsiTheme="minorHAnsi" w:cstheme="minorBidi"/>
        </w:rPr>
        <w:t>e.g.</w:t>
      </w:r>
      <w:proofErr w:type="gramEnd"/>
      <w:r w:rsidRPr="1C4AD231">
        <w:rPr>
          <w:rFonts w:asciiTheme="minorHAnsi" w:hAnsiTheme="minorHAnsi" w:cstheme="minorBidi"/>
        </w:rPr>
        <w:t xml:space="preserve"> transparency </w:t>
      </w:r>
    </w:p>
    <w:p w14:paraId="17F58F64" w14:textId="345E6645" w:rsidR="00197F68" w:rsidRPr="00F24E4F" w:rsidRDefault="00B07E67" w:rsidP="007A6C1B">
      <w:pPr>
        <w:pStyle w:val="Heading2"/>
        <w:numPr>
          <w:ilvl w:val="0"/>
          <w:numId w:val="15"/>
        </w:numPr>
      </w:pPr>
      <w:r w:rsidRPr="1C4AD231">
        <w:t xml:space="preserve">Research as an acceptable condition for processing of special category data </w:t>
      </w:r>
    </w:p>
    <w:p w14:paraId="428A9F82" w14:textId="78FC3A78"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The processing of special category personal data is generally prohibited, unless one of several available conditions is met. Processing which is necessary for research purposes in the public interest is one such condition rendering the processing legal.</w:t>
      </w:r>
    </w:p>
    <w:p w14:paraId="5B161032" w14:textId="495F1C49" w:rsidR="00197F68" w:rsidRPr="00F24E4F" w:rsidRDefault="00B07E67" w:rsidP="007A6C1B">
      <w:pPr>
        <w:pStyle w:val="Heading2"/>
        <w:numPr>
          <w:ilvl w:val="0"/>
          <w:numId w:val="15"/>
        </w:numPr>
      </w:pPr>
      <w:r w:rsidRPr="1C4AD231">
        <w:t xml:space="preserve">Retention </w:t>
      </w:r>
    </w:p>
    <w:p w14:paraId="7878436C" w14:textId="19451A4F"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The fifth data protection principle requires that data be kept as identifiable data for no longer than is necessary to meet the purposes for which the data is processed. However, personal data which are processed for research purposes may be kept for ‘longer’. (We are </w:t>
      </w:r>
      <w:r>
        <w:tab/>
      </w:r>
      <w:r w:rsidRPr="1C4AD231">
        <w:rPr>
          <w:rFonts w:asciiTheme="minorHAnsi" w:hAnsiTheme="minorHAnsi" w:cstheme="minorBidi"/>
        </w:rPr>
        <w:t>awaiting guidance from the ICO as to how the term ‘longer’ should be interpreted.)</w:t>
      </w:r>
    </w:p>
    <w:p w14:paraId="38BF90B4" w14:textId="77777777" w:rsidR="00197F68" w:rsidRPr="00F24E4F" w:rsidRDefault="00B07E67" w:rsidP="007A6C1B">
      <w:pPr>
        <w:pStyle w:val="Heading2"/>
        <w:numPr>
          <w:ilvl w:val="0"/>
          <w:numId w:val="15"/>
        </w:numPr>
      </w:pPr>
      <w:r w:rsidRPr="1C4AD231">
        <w:t xml:space="preserve">Transparency </w:t>
      </w:r>
    </w:p>
    <w:p w14:paraId="281F16A5" w14:textId="5B937D7F" w:rsidR="00197F68" w:rsidRPr="00755359" w:rsidRDefault="00B07E67" w:rsidP="1C4AD231">
      <w:pPr>
        <w:spacing w:after="231"/>
        <w:ind w:left="720" w:right="58" w:firstLine="0"/>
        <w:rPr>
          <w:rFonts w:asciiTheme="minorHAnsi" w:hAnsiTheme="minorHAnsi" w:cstheme="minorBidi"/>
        </w:rPr>
      </w:pPr>
      <w:r w:rsidRPr="1C4AD231">
        <w:rPr>
          <w:rFonts w:asciiTheme="minorHAnsi" w:hAnsiTheme="minorHAnsi" w:cstheme="minorBidi"/>
        </w:rPr>
        <w:t xml:space="preserve">If personal data processed for research has been collected from a third party and not directly from the individuals concerned, it will not be necessary to provide the prescribed </w:t>
      </w:r>
      <w:r>
        <w:tab/>
      </w:r>
      <w:r w:rsidRPr="1C4AD231">
        <w:rPr>
          <w:rFonts w:asciiTheme="minorHAnsi" w:hAnsiTheme="minorHAnsi" w:cstheme="minorBidi"/>
        </w:rPr>
        <w:t xml:space="preserve">information directly to each individual if doing so would require a disproportionate effort or if it would prevent or seriously impair the achievement of the research objectives. Even so, </w:t>
      </w:r>
      <w:r>
        <w:tab/>
      </w:r>
      <w:r w:rsidRPr="1C4AD231">
        <w:rPr>
          <w:rFonts w:asciiTheme="minorHAnsi" w:hAnsiTheme="minorHAnsi" w:cstheme="minorBidi"/>
        </w:rPr>
        <w:t xml:space="preserve">you must still make the prescribed information publicly available. </w:t>
      </w:r>
    </w:p>
    <w:p w14:paraId="4BB475D5" w14:textId="77777777" w:rsidR="00197F68" w:rsidRPr="00F24E4F" w:rsidRDefault="00B07E67" w:rsidP="007A6C1B">
      <w:pPr>
        <w:pStyle w:val="Heading2"/>
        <w:numPr>
          <w:ilvl w:val="0"/>
          <w:numId w:val="15"/>
        </w:numPr>
      </w:pPr>
      <w:r w:rsidRPr="1C4AD231">
        <w:t xml:space="preserve">Individual rights </w:t>
      </w:r>
    </w:p>
    <w:p w14:paraId="65194791" w14:textId="77777777"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The GDPR grants individuals new or improved rights in relation to their personal data, including the right to access the data, the right to object to processing, the right to request that the data be deleted (the right to be ‘forgotten’), the right to request that the processing of the data be restricted and the right to request the rectification of inaccurate or incomplete data. However, these rights are in any event not absolute; and where personal data is processed solely for the purposes of research, these rights will not apply to the extent that they would prevent or seriously impair the achievement of those purposes.  </w:t>
      </w:r>
    </w:p>
    <w:p w14:paraId="15DB61B1" w14:textId="314E4825" w:rsidR="00197F68" w:rsidRPr="00755359" w:rsidRDefault="00B07E67" w:rsidP="1C4AD231">
      <w:pPr>
        <w:ind w:left="720" w:right="58" w:firstLine="0"/>
        <w:rPr>
          <w:rFonts w:asciiTheme="minorHAnsi" w:hAnsiTheme="minorHAnsi" w:cstheme="minorBidi"/>
        </w:rPr>
      </w:pPr>
      <w:r w:rsidRPr="1C4AD231">
        <w:rPr>
          <w:rFonts w:asciiTheme="minorHAnsi" w:hAnsiTheme="minorHAnsi" w:cstheme="minorBidi"/>
        </w:rPr>
        <w:t xml:space="preserve">If researchers receive requests of the kind described above, they should refer them to the Information </w:t>
      </w:r>
      <w:r w:rsidR="00EB7371">
        <w:rPr>
          <w:rFonts w:asciiTheme="minorHAnsi" w:hAnsiTheme="minorHAnsi" w:cstheme="minorBidi"/>
        </w:rPr>
        <w:t>Governance</w:t>
      </w:r>
      <w:r w:rsidRPr="1C4AD231">
        <w:rPr>
          <w:rFonts w:asciiTheme="minorHAnsi" w:hAnsiTheme="minorHAnsi" w:cstheme="minorBidi"/>
        </w:rPr>
        <w:t xml:space="preserve"> Team for action.  </w:t>
      </w:r>
    </w:p>
    <w:p w14:paraId="1C3F78E1" w14:textId="77777777" w:rsidR="00197F68" w:rsidRPr="00755359" w:rsidRDefault="00B07E67" w:rsidP="1C4AD231">
      <w:pPr>
        <w:spacing w:after="191" w:line="250" w:lineRule="auto"/>
        <w:ind w:left="720" w:right="0" w:firstLine="0"/>
        <w:jc w:val="left"/>
        <w:rPr>
          <w:rFonts w:asciiTheme="minorHAnsi" w:hAnsiTheme="minorHAnsi" w:cstheme="minorBidi"/>
        </w:rPr>
      </w:pPr>
      <w:r w:rsidRPr="1C4AD231">
        <w:rPr>
          <w:rFonts w:asciiTheme="minorHAnsi" w:hAnsiTheme="minorHAnsi" w:cstheme="minorBidi"/>
          <w:b/>
        </w:rPr>
        <w:t>The above exemptions are only available where the processing satisfies the requirement for appropriate safeguards, as described above.</w:t>
      </w:r>
      <w:r w:rsidRPr="1C4AD231">
        <w:rPr>
          <w:rFonts w:asciiTheme="minorHAnsi" w:hAnsiTheme="minorHAnsi" w:cstheme="minorBidi"/>
        </w:rPr>
        <w:t xml:space="preserve"> </w:t>
      </w:r>
    </w:p>
    <w:p w14:paraId="6F864F0E" w14:textId="67B8A21D" w:rsidR="00197F68" w:rsidRPr="00AF39D5" w:rsidRDefault="00B07E67" w:rsidP="00A43697">
      <w:pPr>
        <w:pStyle w:val="Heading1"/>
      </w:pPr>
      <w:r w:rsidRPr="469E9F8D">
        <w:t>I.</w:t>
      </w:r>
      <w:r w:rsidRPr="469E9F8D">
        <w:rPr>
          <w:rFonts w:eastAsia="Arial"/>
        </w:rPr>
        <w:t xml:space="preserve"> </w:t>
      </w:r>
      <w:r>
        <w:tab/>
      </w:r>
      <w:bookmarkStart w:id="13" w:name="Bookmark12"/>
      <w:r w:rsidRPr="469E9F8D">
        <w:t xml:space="preserve">Practical considerations </w:t>
      </w:r>
      <w:bookmarkEnd w:id="13"/>
    </w:p>
    <w:p w14:paraId="0E93CB2B" w14:textId="1F6CD585" w:rsidR="00197F68" w:rsidRPr="00755359" w:rsidRDefault="00B07E67" w:rsidP="0011258D">
      <w:pPr>
        <w:ind w:left="720" w:right="58" w:firstLine="0"/>
        <w:rPr>
          <w:rFonts w:asciiTheme="minorHAnsi" w:hAnsiTheme="minorHAnsi" w:cstheme="minorBidi"/>
        </w:rPr>
      </w:pPr>
      <w:r w:rsidRPr="1C4AD231">
        <w:rPr>
          <w:rFonts w:asciiTheme="minorHAnsi" w:hAnsiTheme="minorHAnsi" w:cstheme="minorBidi"/>
        </w:rPr>
        <w:t xml:space="preserve">This section is intended to highlight some of the issues that researchers may need to consider at different stages of their project. It is extremely difficult to highlight all of the issues which may arise during the course of every project and, accordingly, this section does not purport to be exhaustive. </w:t>
      </w:r>
    </w:p>
    <w:p w14:paraId="56E5E67E" w14:textId="77777777" w:rsidR="00197F68" w:rsidRPr="00AF39D5" w:rsidRDefault="00B07E67" w:rsidP="007A6C1B">
      <w:pPr>
        <w:pStyle w:val="ListParagraph"/>
        <w:numPr>
          <w:ilvl w:val="0"/>
          <w:numId w:val="6"/>
        </w:numPr>
        <w:spacing w:after="120" w:line="248" w:lineRule="auto"/>
        <w:ind w:left="1077" w:right="57" w:hanging="357"/>
        <w:contextualSpacing w:val="0"/>
        <w:rPr>
          <w:rFonts w:asciiTheme="minorHAnsi" w:hAnsiTheme="minorHAnsi" w:cstheme="minorBidi"/>
        </w:rPr>
      </w:pPr>
      <w:r w:rsidRPr="1C4AD231">
        <w:rPr>
          <w:rFonts w:asciiTheme="minorHAnsi" w:hAnsiTheme="minorHAnsi" w:cstheme="minorBidi"/>
          <w:b/>
        </w:rPr>
        <w:lastRenderedPageBreak/>
        <w:t>Self-collection</w:t>
      </w:r>
      <w:r w:rsidRPr="1C4AD231">
        <w:rPr>
          <w:rFonts w:asciiTheme="minorHAnsi" w:hAnsiTheme="minorHAnsi" w:cstheme="minorBidi"/>
        </w:rPr>
        <w:t xml:space="preserve"> – if researchers are collecting personal data directly from individuals, has consideration been given to the conditions for processing and the provision of the prescribed information?</w:t>
      </w:r>
      <w:r w:rsidRPr="1C4AD231">
        <w:rPr>
          <w:rFonts w:asciiTheme="minorHAnsi" w:hAnsiTheme="minorHAnsi" w:cstheme="minorBidi"/>
          <w:b/>
        </w:rPr>
        <w:t xml:space="preserve"> </w:t>
      </w:r>
    </w:p>
    <w:p w14:paraId="4CC8609D" w14:textId="52FC9AC4" w:rsidR="00197F68" w:rsidRPr="00AF39D5" w:rsidRDefault="00B07E67" w:rsidP="007A6C1B">
      <w:pPr>
        <w:pStyle w:val="ListParagraph"/>
        <w:numPr>
          <w:ilvl w:val="0"/>
          <w:numId w:val="6"/>
        </w:numPr>
        <w:spacing w:after="120"/>
        <w:ind w:left="1077" w:right="57" w:hanging="357"/>
        <w:contextualSpacing w:val="0"/>
        <w:rPr>
          <w:rFonts w:asciiTheme="minorHAnsi" w:hAnsiTheme="minorHAnsi" w:cstheme="minorBidi"/>
        </w:rPr>
      </w:pPr>
      <w:r w:rsidRPr="6A38A7B4">
        <w:rPr>
          <w:rFonts w:asciiTheme="minorHAnsi" w:hAnsiTheme="minorHAnsi" w:cstheme="minorBidi"/>
          <w:b/>
          <w:bCs/>
        </w:rPr>
        <w:t>Third-party processing</w:t>
      </w:r>
      <w:r w:rsidRPr="6A38A7B4">
        <w:rPr>
          <w:rFonts w:asciiTheme="minorHAnsi" w:hAnsiTheme="minorHAnsi" w:cstheme="minorBidi"/>
        </w:rPr>
        <w:t xml:space="preserve">– if researchers are using a third party to collect or process personal data on their behalf (a data processor), they need to get advice from </w:t>
      </w:r>
      <w:r w:rsidRPr="33AD9453">
        <w:rPr>
          <w:rFonts w:asciiTheme="minorHAnsi" w:hAnsiTheme="minorHAnsi" w:cstheme="minorBidi"/>
        </w:rPr>
        <w:t xml:space="preserve">Research </w:t>
      </w:r>
      <w:r w:rsidR="09F51B5D" w:rsidRPr="33AD9453">
        <w:rPr>
          <w:rFonts w:asciiTheme="minorHAnsi" w:hAnsiTheme="minorHAnsi" w:cstheme="minorBidi"/>
        </w:rPr>
        <w:t>and Innovation Team (particularly Research Development Managers),</w:t>
      </w:r>
      <w:r w:rsidRPr="6A38A7B4">
        <w:rPr>
          <w:rFonts w:asciiTheme="minorHAnsi" w:hAnsiTheme="minorHAnsi" w:cstheme="minorBidi"/>
        </w:rPr>
        <w:t xml:space="preserve"> to enter into an agreement with that third party to ensure the information is processed in accordance with the University’s legal obligations.  </w:t>
      </w:r>
      <w:r w:rsidR="46537E14" w:rsidRPr="6A38A7B4">
        <w:rPr>
          <w:rFonts w:asciiTheme="minorHAnsi" w:hAnsiTheme="minorHAnsi" w:cstheme="minorBidi"/>
        </w:rPr>
        <w:t xml:space="preserve">Please contact legal services for </w:t>
      </w:r>
      <w:r w:rsidR="197D6A52" w:rsidRPr="6A38A7B4">
        <w:rPr>
          <w:rFonts w:asciiTheme="minorHAnsi" w:hAnsiTheme="minorHAnsi" w:cstheme="minorBidi"/>
        </w:rPr>
        <w:t xml:space="preserve">advice on the </w:t>
      </w:r>
      <w:r w:rsidR="46537E14" w:rsidRPr="6A38A7B4">
        <w:rPr>
          <w:rFonts w:asciiTheme="minorHAnsi" w:hAnsiTheme="minorHAnsi" w:cstheme="minorBidi"/>
        </w:rPr>
        <w:t>completi</w:t>
      </w:r>
      <w:r w:rsidR="167E47F1" w:rsidRPr="6A38A7B4">
        <w:rPr>
          <w:rFonts w:asciiTheme="minorHAnsi" w:hAnsiTheme="minorHAnsi" w:cstheme="minorBidi"/>
        </w:rPr>
        <w:t>o</w:t>
      </w:r>
      <w:r w:rsidR="46537E14" w:rsidRPr="6A38A7B4">
        <w:rPr>
          <w:rFonts w:asciiTheme="minorHAnsi" w:hAnsiTheme="minorHAnsi" w:cstheme="minorBidi"/>
        </w:rPr>
        <w:t>n</w:t>
      </w:r>
      <w:r w:rsidR="75BE7F58" w:rsidRPr="6A38A7B4">
        <w:rPr>
          <w:rFonts w:asciiTheme="minorHAnsi" w:hAnsiTheme="minorHAnsi" w:cstheme="minorBidi"/>
        </w:rPr>
        <w:t xml:space="preserve"> of any</w:t>
      </w:r>
      <w:r w:rsidR="46537E14" w:rsidRPr="6A38A7B4">
        <w:rPr>
          <w:rFonts w:asciiTheme="minorHAnsi" w:hAnsiTheme="minorHAnsi" w:cstheme="minorBidi"/>
        </w:rPr>
        <w:t xml:space="preserve"> </w:t>
      </w:r>
      <w:r w:rsidR="4C847252" w:rsidRPr="6A38A7B4">
        <w:rPr>
          <w:rFonts w:asciiTheme="minorHAnsi" w:hAnsiTheme="minorHAnsi" w:cstheme="minorBidi"/>
        </w:rPr>
        <w:t xml:space="preserve">data </w:t>
      </w:r>
      <w:r w:rsidR="46537E14" w:rsidRPr="6A38A7B4">
        <w:rPr>
          <w:rFonts w:asciiTheme="minorHAnsi" w:hAnsiTheme="minorHAnsi" w:cstheme="minorBidi"/>
        </w:rPr>
        <w:t>agreement</w:t>
      </w:r>
      <w:r w:rsidR="221B15B5" w:rsidRPr="6A38A7B4">
        <w:rPr>
          <w:rFonts w:asciiTheme="minorHAnsi" w:hAnsiTheme="minorHAnsi" w:cstheme="minorBidi"/>
        </w:rPr>
        <w:t>(s)</w:t>
      </w:r>
      <w:r w:rsidR="46537E14" w:rsidRPr="6A38A7B4">
        <w:rPr>
          <w:rFonts w:asciiTheme="minorHAnsi" w:hAnsiTheme="minorHAnsi" w:cstheme="minorBidi"/>
        </w:rPr>
        <w:t xml:space="preserve"> required.</w:t>
      </w:r>
    </w:p>
    <w:p w14:paraId="3E2F5601" w14:textId="7C79A2C7" w:rsidR="00197F68" w:rsidRPr="00AF39D5" w:rsidRDefault="00B07E67" w:rsidP="007A6C1B">
      <w:pPr>
        <w:pStyle w:val="ListParagraph"/>
        <w:numPr>
          <w:ilvl w:val="0"/>
          <w:numId w:val="6"/>
        </w:numPr>
        <w:spacing w:after="120"/>
        <w:ind w:left="1077" w:right="57" w:hanging="357"/>
        <w:contextualSpacing w:val="0"/>
        <w:rPr>
          <w:rFonts w:asciiTheme="minorHAnsi" w:hAnsiTheme="minorHAnsi" w:cstheme="minorBidi"/>
        </w:rPr>
      </w:pPr>
      <w:r w:rsidRPr="33AD9453">
        <w:rPr>
          <w:rFonts w:asciiTheme="minorHAnsi" w:hAnsiTheme="minorHAnsi" w:cstheme="minorBidi"/>
          <w:b/>
        </w:rPr>
        <w:t>Third-party contribution</w:t>
      </w:r>
      <w:r w:rsidRPr="33AD9453">
        <w:rPr>
          <w:rFonts w:asciiTheme="minorHAnsi" w:hAnsiTheme="minorHAnsi" w:cstheme="minorBidi"/>
        </w:rPr>
        <w:t xml:space="preserve"> – if researchers are obtaining personal data from a third party, they should seek assurances about the information in accordance with the </w:t>
      </w:r>
      <w:r w:rsidR="27D8519D"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’s obligations. It is important to note that if you are relying on the consent of the individuals to process any personal data, you will need to see those consents – third-party assurances alone will not be sufficient, although the ICO may take them into account in any enforcement action.</w:t>
      </w:r>
      <w:r w:rsidRPr="33AD9453">
        <w:rPr>
          <w:rFonts w:asciiTheme="minorHAnsi" w:hAnsiTheme="minorHAnsi" w:cstheme="minorBidi"/>
          <w:b/>
        </w:rPr>
        <w:t xml:space="preserve"> </w:t>
      </w:r>
    </w:p>
    <w:p w14:paraId="39033E94" w14:textId="77777777" w:rsidR="00197F68" w:rsidRPr="00AF39D5" w:rsidRDefault="00B07E67" w:rsidP="007A6C1B">
      <w:pPr>
        <w:pStyle w:val="ListParagraph"/>
        <w:numPr>
          <w:ilvl w:val="0"/>
          <w:numId w:val="6"/>
        </w:numPr>
        <w:spacing w:after="120"/>
        <w:ind w:left="1077" w:right="57" w:hanging="357"/>
        <w:contextualSpacing w:val="0"/>
        <w:rPr>
          <w:rFonts w:asciiTheme="minorHAnsi" w:hAnsiTheme="minorHAnsi" w:cstheme="minorBidi"/>
        </w:rPr>
      </w:pPr>
      <w:r w:rsidRPr="1C4AD231">
        <w:rPr>
          <w:rFonts w:asciiTheme="minorHAnsi" w:hAnsiTheme="minorHAnsi" w:cstheme="minorBidi"/>
          <w:b/>
        </w:rPr>
        <w:t>Security</w:t>
      </w:r>
      <w:r w:rsidRPr="1C4AD231">
        <w:rPr>
          <w:rFonts w:asciiTheme="minorHAnsi" w:hAnsiTheme="minorHAnsi" w:cstheme="minorBidi"/>
        </w:rPr>
        <w:t xml:space="preserve"> – Have researchers considered appropriate security measures and implemented a policy for handling personal data?</w:t>
      </w:r>
      <w:r w:rsidRPr="1C4AD231">
        <w:rPr>
          <w:rFonts w:asciiTheme="minorHAnsi" w:hAnsiTheme="minorHAnsi" w:cstheme="minorBidi"/>
          <w:b/>
        </w:rPr>
        <w:t xml:space="preserve"> </w:t>
      </w:r>
    </w:p>
    <w:p w14:paraId="4C8481EA" w14:textId="77777777" w:rsidR="00197F68" w:rsidRPr="00AF39D5" w:rsidRDefault="00B07E67" w:rsidP="007A6C1B">
      <w:pPr>
        <w:pStyle w:val="ListParagraph"/>
        <w:numPr>
          <w:ilvl w:val="0"/>
          <w:numId w:val="6"/>
        </w:numPr>
        <w:ind w:left="1080" w:right="58"/>
        <w:rPr>
          <w:rFonts w:asciiTheme="minorHAnsi" w:hAnsiTheme="minorHAnsi" w:cstheme="minorBidi"/>
        </w:rPr>
      </w:pPr>
      <w:r w:rsidRPr="1C4AD231">
        <w:rPr>
          <w:rFonts w:asciiTheme="minorHAnsi" w:hAnsiTheme="minorHAnsi" w:cstheme="minorBidi"/>
          <w:b/>
        </w:rPr>
        <w:t>Sharing</w:t>
      </w:r>
      <w:r w:rsidRPr="1C4AD231">
        <w:rPr>
          <w:rFonts w:asciiTheme="minorHAnsi" w:hAnsiTheme="minorHAnsi" w:cstheme="minorBidi"/>
        </w:rPr>
        <w:t xml:space="preserve"> – if researchers are intending to share access to personal data, then they are required by law to enter into a written agreement with those parties, setting out the conditions on which the data is made available.</w:t>
      </w:r>
      <w:r w:rsidRPr="1C4AD231">
        <w:rPr>
          <w:rFonts w:asciiTheme="minorHAnsi" w:hAnsiTheme="minorHAnsi" w:cstheme="minorBidi"/>
          <w:b/>
        </w:rPr>
        <w:t xml:space="preserve"> </w:t>
      </w:r>
    </w:p>
    <w:p w14:paraId="1278D929" w14:textId="1E7E32F8" w:rsidR="00197F68" w:rsidRPr="00755359" w:rsidRDefault="00B07E67" w:rsidP="00F723F0">
      <w:pPr>
        <w:ind w:left="720" w:right="58" w:firstLine="0"/>
        <w:rPr>
          <w:rFonts w:asciiTheme="minorHAnsi" w:hAnsiTheme="minorHAnsi" w:cstheme="minorBidi"/>
        </w:rPr>
      </w:pPr>
      <w:r w:rsidRPr="6A38A7B4">
        <w:rPr>
          <w:rFonts w:asciiTheme="minorHAnsi" w:hAnsiTheme="minorHAnsi" w:cstheme="minorBidi"/>
        </w:rPr>
        <w:t xml:space="preserve">It should be noted that the </w:t>
      </w:r>
      <w:r w:rsidR="666E582E" w:rsidRPr="33AD9453">
        <w:rPr>
          <w:rFonts w:asciiTheme="minorHAnsi" w:hAnsiTheme="minorHAnsi" w:cstheme="minorBidi"/>
        </w:rPr>
        <w:t>university</w:t>
      </w:r>
      <w:r w:rsidRPr="6A38A7B4">
        <w:rPr>
          <w:rFonts w:asciiTheme="minorHAnsi" w:hAnsiTheme="minorHAnsi" w:cstheme="minorBidi"/>
        </w:rPr>
        <w:t xml:space="preserve"> has prepared a growing suite of templates which can be adapted for use by researchers collecting and sharing information about individuals</w:t>
      </w:r>
      <w:r w:rsidRPr="33AD9453">
        <w:rPr>
          <w:rFonts w:asciiTheme="minorHAnsi" w:hAnsiTheme="minorHAnsi" w:cstheme="minorBidi"/>
        </w:rPr>
        <w:t xml:space="preserve">. </w:t>
      </w:r>
      <w:r w:rsidR="529B001F" w:rsidRPr="33AD9453">
        <w:rPr>
          <w:rFonts w:asciiTheme="minorHAnsi" w:hAnsiTheme="minorHAnsi" w:cstheme="minorBidi"/>
        </w:rPr>
        <w:t>Links to these templates can be found in the useful resources and references section below.</w:t>
      </w:r>
    </w:p>
    <w:p w14:paraId="68B6665F" w14:textId="1F442ABA" w:rsidR="00197F68" w:rsidRPr="002563F5" w:rsidRDefault="00B07E67" w:rsidP="009A3C58">
      <w:pPr>
        <w:pStyle w:val="Heading2"/>
      </w:pPr>
      <w:r w:rsidRPr="1C4AD231">
        <w:t>Consent requirements</w:t>
      </w:r>
    </w:p>
    <w:p w14:paraId="78FAA5D7" w14:textId="12893660" w:rsidR="00197F68" w:rsidRPr="00755359" w:rsidRDefault="00B07E67" w:rsidP="00F723F0">
      <w:pPr>
        <w:spacing w:after="0" w:line="259" w:lineRule="auto"/>
        <w:ind w:left="720" w:right="0" w:firstLine="0"/>
        <w:jc w:val="left"/>
        <w:rPr>
          <w:rFonts w:asciiTheme="minorHAnsi" w:hAnsiTheme="minorHAnsi" w:cstheme="minorBidi"/>
        </w:rPr>
      </w:pPr>
      <w:r w:rsidRPr="1C4AD231">
        <w:rPr>
          <w:rFonts w:asciiTheme="minorHAnsi" w:hAnsiTheme="minorHAnsi" w:cstheme="minorBidi"/>
        </w:rPr>
        <w:t xml:space="preserve">If consent is to be the legal basis for processing personal data, it must be freely given, specific, </w:t>
      </w:r>
      <w:proofErr w:type="gramStart"/>
      <w:r w:rsidRPr="1C4AD231">
        <w:rPr>
          <w:rFonts w:asciiTheme="minorHAnsi" w:hAnsiTheme="minorHAnsi" w:cstheme="minorBidi"/>
        </w:rPr>
        <w:t>informed</w:t>
      </w:r>
      <w:proofErr w:type="gramEnd"/>
      <w:r w:rsidRPr="1C4AD231">
        <w:rPr>
          <w:rFonts w:asciiTheme="minorHAnsi" w:hAnsiTheme="minorHAnsi" w:cstheme="minorBidi"/>
        </w:rPr>
        <w:t xml:space="preserve"> and unambiguous. In general, consent will be appropriate only where we are able to offer the individual a genuine choice over whether and how their data is used. </w:t>
      </w:r>
    </w:p>
    <w:p w14:paraId="42B91E5E" w14:textId="77777777" w:rsidR="00197F68" w:rsidRPr="00755359" w:rsidRDefault="00B07E67" w:rsidP="1C4AD231">
      <w:pPr>
        <w:spacing w:after="0" w:line="259" w:lineRule="auto"/>
        <w:ind w:left="720" w:right="0" w:firstLine="0"/>
        <w:jc w:val="left"/>
        <w:rPr>
          <w:rFonts w:asciiTheme="minorHAnsi" w:hAnsiTheme="minorHAnsi" w:cstheme="minorBidi"/>
        </w:rPr>
      </w:pPr>
      <w:r w:rsidRPr="1C4AD231">
        <w:rPr>
          <w:rFonts w:asciiTheme="minorHAnsi" w:hAnsiTheme="minorHAnsi" w:cstheme="minorBidi"/>
        </w:rPr>
        <w:t xml:space="preserve"> </w:t>
      </w:r>
    </w:p>
    <w:p w14:paraId="52CEE054" w14:textId="77777777" w:rsidR="00197F68" w:rsidRPr="00755359"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 xml:space="preserve">The data subject should show their agreement to the processing of their personal data by a statement or a clear affirmative action, such as ticking a box or signing a form. This means that consent can be expressed only through a positive opt-in and </w:t>
      </w:r>
      <w:r w:rsidRPr="1C4AD231">
        <w:rPr>
          <w:rFonts w:asciiTheme="minorHAnsi" w:hAnsiTheme="minorHAnsi" w:cstheme="minorBidi"/>
          <w:u w:val="single"/>
        </w:rPr>
        <w:t>not</w:t>
      </w:r>
      <w:r w:rsidRPr="1C4AD231">
        <w:rPr>
          <w:rFonts w:asciiTheme="minorHAnsi" w:hAnsiTheme="minorHAnsi" w:cstheme="minorBidi"/>
        </w:rPr>
        <w:t xml:space="preserve"> through a failure to optout. </w:t>
      </w:r>
    </w:p>
    <w:p w14:paraId="6580CABC" w14:textId="14D07196" w:rsidR="00197F68" w:rsidRPr="00755359" w:rsidRDefault="00197F68" w:rsidP="1C4AD231">
      <w:pPr>
        <w:spacing w:after="0" w:line="259" w:lineRule="auto"/>
        <w:ind w:left="720" w:right="0" w:firstLine="0"/>
        <w:jc w:val="left"/>
        <w:rPr>
          <w:rFonts w:asciiTheme="minorHAnsi" w:hAnsiTheme="minorHAnsi" w:cstheme="minorBidi"/>
        </w:rPr>
      </w:pPr>
    </w:p>
    <w:p w14:paraId="18EE6E6F" w14:textId="77777777" w:rsidR="00197F68" w:rsidRPr="00755359"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 xml:space="preserve">If the request for consent is in writing it should be in an intelligible and easily accessible form, using clear and plain language.  </w:t>
      </w:r>
    </w:p>
    <w:p w14:paraId="0E0F4D87" w14:textId="1BA24CE1" w:rsidR="00197F68" w:rsidRPr="00755359" w:rsidRDefault="00197F68" w:rsidP="1C4AD231">
      <w:pPr>
        <w:spacing w:after="0" w:line="259" w:lineRule="auto"/>
        <w:ind w:left="720" w:right="0" w:firstLine="0"/>
        <w:jc w:val="left"/>
        <w:rPr>
          <w:rFonts w:asciiTheme="minorHAnsi" w:hAnsiTheme="minorHAnsi" w:cstheme="minorBidi"/>
        </w:rPr>
      </w:pPr>
    </w:p>
    <w:p w14:paraId="7C1DE62B" w14:textId="77777777" w:rsidR="00197F68" w:rsidRPr="00755359" w:rsidRDefault="00B07E67" w:rsidP="1C4AD231">
      <w:pPr>
        <w:spacing w:after="0"/>
        <w:ind w:left="720" w:right="58" w:firstLine="0"/>
        <w:rPr>
          <w:rFonts w:asciiTheme="minorHAnsi" w:hAnsiTheme="minorHAnsi" w:cstheme="minorBidi"/>
        </w:rPr>
      </w:pPr>
      <w:r w:rsidRPr="1C4AD231">
        <w:rPr>
          <w:rFonts w:asciiTheme="minorHAnsi" w:hAnsiTheme="minorHAnsi" w:cstheme="minorBidi"/>
        </w:rPr>
        <w:t xml:space="preserve">Data subjects have the right to withdraw consent at any time, and it must be as easy to withdraw consent as it is to give it. Data subjects must be informed of their right to withdraw consent at the same time as they are asked to provide it.  </w:t>
      </w:r>
    </w:p>
    <w:p w14:paraId="2213ED51" w14:textId="77777777" w:rsidR="00197F68" w:rsidRPr="00755359" w:rsidRDefault="00B07E67">
      <w:pPr>
        <w:spacing w:after="0" w:line="259" w:lineRule="auto"/>
        <w:ind w:left="14" w:right="0" w:firstLine="0"/>
        <w:jc w:val="left"/>
        <w:rPr>
          <w:rFonts w:asciiTheme="minorHAnsi" w:hAnsiTheme="minorHAnsi" w:cstheme="minorHAnsi"/>
        </w:rPr>
      </w:pPr>
      <w:r w:rsidRPr="00755359">
        <w:rPr>
          <w:rFonts w:asciiTheme="minorHAnsi" w:hAnsiTheme="minorHAnsi" w:cstheme="minorHAnsi"/>
        </w:rPr>
        <w:t xml:space="preserve"> </w:t>
      </w:r>
    </w:p>
    <w:p w14:paraId="71841344" w14:textId="77777777" w:rsidR="00197F68" w:rsidRPr="00755359" w:rsidRDefault="00B07E67" w:rsidP="1C4AD231">
      <w:pPr>
        <w:spacing w:after="10"/>
        <w:ind w:left="720" w:right="58" w:firstLine="0"/>
        <w:rPr>
          <w:rFonts w:asciiTheme="minorHAnsi" w:hAnsiTheme="minorHAnsi" w:cstheme="minorBidi"/>
        </w:rPr>
      </w:pPr>
      <w:r w:rsidRPr="1C4AD231">
        <w:rPr>
          <w:rFonts w:asciiTheme="minorHAnsi" w:hAnsiTheme="minorHAnsi" w:cstheme="minorBidi"/>
        </w:rPr>
        <w:t xml:space="preserve">The GDPR stipulates that consent will </w:t>
      </w:r>
      <w:r w:rsidRPr="1C4AD231">
        <w:rPr>
          <w:rFonts w:asciiTheme="minorHAnsi" w:hAnsiTheme="minorHAnsi" w:cstheme="minorBidi"/>
          <w:u w:val="single"/>
        </w:rPr>
        <w:t>not</w:t>
      </w:r>
      <w:r w:rsidRPr="1C4AD231">
        <w:rPr>
          <w:rFonts w:asciiTheme="minorHAnsi" w:hAnsiTheme="minorHAnsi" w:cstheme="minorBidi"/>
        </w:rPr>
        <w:t xml:space="preserve"> be regarded as freely given if: </w:t>
      </w:r>
    </w:p>
    <w:p w14:paraId="72E4058C" w14:textId="2C7C6969" w:rsidR="00197F68" w:rsidRPr="00755359" w:rsidRDefault="00197F68" w:rsidP="1C4AD231">
      <w:pPr>
        <w:spacing w:after="0" w:line="259" w:lineRule="auto"/>
        <w:ind w:left="720" w:right="0" w:firstLine="0"/>
        <w:jc w:val="left"/>
        <w:rPr>
          <w:rFonts w:asciiTheme="minorHAnsi" w:hAnsiTheme="minorHAnsi" w:cstheme="minorBidi"/>
        </w:rPr>
      </w:pPr>
    </w:p>
    <w:p w14:paraId="30B5B0CA" w14:textId="3CD0CFC0" w:rsidR="00197F68" w:rsidRPr="00755359" w:rsidRDefault="00B07E67" w:rsidP="007A6C1B">
      <w:pPr>
        <w:numPr>
          <w:ilvl w:val="0"/>
          <w:numId w:val="2"/>
        </w:numPr>
        <w:spacing w:after="115"/>
        <w:ind w:left="993" w:right="58" w:hanging="283"/>
        <w:rPr>
          <w:rFonts w:asciiTheme="minorHAnsi" w:hAnsiTheme="minorHAnsi" w:cstheme="minorBidi"/>
        </w:rPr>
      </w:pPr>
      <w:r w:rsidRPr="1C4AD231">
        <w:rPr>
          <w:rFonts w:asciiTheme="minorHAnsi" w:hAnsiTheme="minorHAnsi" w:cstheme="minorBidi"/>
        </w:rPr>
        <w:t xml:space="preserve">an individual is offered a service that depends on his/her giving consent for unrelated processing activities; or </w:t>
      </w:r>
    </w:p>
    <w:p w14:paraId="454C02A2" w14:textId="31BEDB95" w:rsidR="00197F68" w:rsidRPr="00755359" w:rsidRDefault="00B07E67" w:rsidP="007A6C1B">
      <w:pPr>
        <w:numPr>
          <w:ilvl w:val="0"/>
          <w:numId w:val="2"/>
        </w:numPr>
        <w:spacing w:after="111"/>
        <w:ind w:left="993" w:right="58" w:hanging="283"/>
        <w:rPr>
          <w:rFonts w:asciiTheme="minorHAnsi" w:hAnsiTheme="minorHAnsi" w:cstheme="minorBidi"/>
        </w:rPr>
      </w:pPr>
      <w:r w:rsidRPr="1C4AD231">
        <w:rPr>
          <w:rFonts w:asciiTheme="minorHAnsi" w:hAnsiTheme="minorHAnsi" w:cstheme="minorBidi"/>
        </w:rPr>
        <w:t xml:space="preserve">an </w:t>
      </w:r>
      <w:r w:rsidR="004824A7" w:rsidRPr="1C4AD231">
        <w:rPr>
          <w:rFonts w:asciiTheme="minorHAnsi" w:hAnsiTheme="minorHAnsi" w:cstheme="minorBidi"/>
        </w:rPr>
        <w:t>individual is</w:t>
      </w:r>
      <w:r w:rsidRPr="1C4AD231">
        <w:rPr>
          <w:rFonts w:asciiTheme="minorHAnsi" w:hAnsiTheme="minorHAnsi" w:cstheme="minorBidi"/>
        </w:rPr>
        <w:t xml:space="preserve"> not allowed to consent separately to different types of processing activities; or </w:t>
      </w:r>
    </w:p>
    <w:p w14:paraId="4634DF3F" w14:textId="7AAF47E4" w:rsidR="00B07E67" w:rsidRDefault="00B07E67" w:rsidP="007A6C1B">
      <w:pPr>
        <w:numPr>
          <w:ilvl w:val="0"/>
          <w:numId w:val="2"/>
        </w:numPr>
        <w:spacing w:after="124"/>
        <w:ind w:left="993" w:right="58" w:hanging="283"/>
        <w:rPr>
          <w:rFonts w:asciiTheme="minorHAnsi" w:hAnsiTheme="minorHAnsi" w:cstheme="minorBidi"/>
        </w:rPr>
      </w:pPr>
      <w:r w:rsidRPr="33AD9453">
        <w:rPr>
          <w:rFonts w:asciiTheme="minorHAnsi" w:hAnsiTheme="minorHAnsi" w:cstheme="minorBidi"/>
        </w:rPr>
        <w:t xml:space="preserve">there is a clear imbalance in power between the organisation and the individual, particularly where, as with the </w:t>
      </w:r>
      <w:r w:rsidR="666E582E" w:rsidRPr="33AD9453">
        <w:rPr>
          <w:rFonts w:asciiTheme="minorHAnsi" w:hAnsiTheme="minorHAnsi" w:cstheme="minorBidi"/>
        </w:rPr>
        <w:t>university</w:t>
      </w:r>
      <w:r w:rsidRPr="33AD9453">
        <w:rPr>
          <w:rFonts w:asciiTheme="minorHAnsi" w:hAnsiTheme="minorHAnsi" w:cstheme="minorBidi"/>
        </w:rPr>
        <w:t xml:space="preserve">, the organisation is defined as a public authority. There is no absolute ban on public authorities relying on </w:t>
      </w:r>
      <w:r w:rsidR="004824A7" w:rsidRPr="33AD9453">
        <w:rPr>
          <w:rFonts w:asciiTheme="minorHAnsi" w:hAnsiTheme="minorHAnsi" w:cstheme="minorBidi"/>
        </w:rPr>
        <w:t>consent,</w:t>
      </w:r>
      <w:r w:rsidRPr="33AD9453">
        <w:rPr>
          <w:rFonts w:asciiTheme="minorHAnsi" w:hAnsiTheme="minorHAnsi" w:cstheme="minorBidi"/>
        </w:rPr>
        <w:t xml:space="preserve"> but it must be emphasised to the individual that they will not suffer any detriment if they choose to refuse consent.</w:t>
      </w:r>
    </w:p>
    <w:p w14:paraId="76DB6122" w14:textId="77777777" w:rsidR="004C1E3A" w:rsidRDefault="004C1E3A" w:rsidP="004C1E3A"/>
    <w:p w14:paraId="6137666B" w14:textId="7130D97B" w:rsidR="002F1516" w:rsidRPr="00AF39D5" w:rsidRDefault="00EB7371" w:rsidP="00A43697">
      <w:pPr>
        <w:pStyle w:val="Heading1"/>
      </w:pPr>
      <w:r>
        <w:t>J.</w:t>
      </w:r>
      <w:r>
        <w:tab/>
      </w:r>
      <w:bookmarkStart w:id="14" w:name="Bookmark13"/>
      <w:bookmarkStart w:id="15" w:name="Bookmark16"/>
      <w:r w:rsidR="002F1516" w:rsidRPr="00AF39D5">
        <w:t xml:space="preserve">Checklist </w:t>
      </w:r>
      <w:bookmarkEnd w:id="14"/>
      <w:bookmarkEnd w:id="15"/>
    </w:p>
    <w:p w14:paraId="2560FF06" w14:textId="7A14484E" w:rsidR="002F1516" w:rsidRDefault="002F1516" w:rsidP="00EB7371">
      <w:pPr>
        <w:spacing w:after="234"/>
        <w:ind w:left="720" w:right="58" w:firstLine="0"/>
        <w:rPr>
          <w:rFonts w:asciiTheme="minorHAnsi" w:hAnsiTheme="minorHAnsi" w:cstheme="minorBidi"/>
        </w:rPr>
      </w:pPr>
      <w:r w:rsidRPr="33AD9453">
        <w:rPr>
          <w:rFonts w:asciiTheme="minorHAnsi" w:hAnsiTheme="minorHAnsi" w:cstheme="minorBidi"/>
        </w:rPr>
        <w:t xml:space="preserve">To assist researchers, verify whether their projects comply with data protection requirements a checklist is provided at </w:t>
      </w:r>
      <w:bookmarkStart w:id="16" w:name="Bookmark10"/>
      <w:r w:rsidR="00D54BFA">
        <w:rPr>
          <w:rFonts w:asciiTheme="minorHAnsi" w:hAnsiTheme="minorHAnsi" w:cstheme="minorBidi"/>
          <w:b/>
        </w:rPr>
        <w:fldChar w:fldCharType="begin"/>
      </w:r>
      <w:r w:rsidR="00D54BFA">
        <w:rPr>
          <w:rFonts w:asciiTheme="minorHAnsi" w:hAnsiTheme="minorHAnsi" w:cstheme="minorBidi"/>
          <w:b/>
        </w:rPr>
        <w:instrText xml:space="preserve"> HYPERLINK  \l "_Appendix_A" </w:instrText>
      </w:r>
      <w:r w:rsidR="00D54BFA">
        <w:rPr>
          <w:rFonts w:asciiTheme="minorHAnsi" w:hAnsiTheme="minorHAnsi" w:cstheme="minorBidi"/>
          <w:b/>
        </w:rPr>
        <w:fldChar w:fldCharType="separate"/>
      </w:r>
      <w:r w:rsidRPr="00D54BFA">
        <w:rPr>
          <w:rStyle w:val="Hyperlink"/>
          <w:rFonts w:asciiTheme="minorHAnsi" w:hAnsiTheme="minorHAnsi" w:cstheme="minorBidi"/>
          <w:b/>
        </w:rPr>
        <w:t>Appendix A</w:t>
      </w:r>
      <w:bookmarkEnd w:id="16"/>
      <w:r w:rsidR="00D54BFA">
        <w:rPr>
          <w:rFonts w:asciiTheme="minorHAnsi" w:hAnsiTheme="minorHAnsi" w:cstheme="minorBidi"/>
          <w:b/>
        </w:rPr>
        <w:fldChar w:fldCharType="end"/>
      </w:r>
      <w:r w:rsidRPr="33AD9453">
        <w:rPr>
          <w:rFonts w:asciiTheme="minorHAnsi" w:hAnsiTheme="minorHAnsi" w:cstheme="minorBidi"/>
          <w:b/>
        </w:rPr>
        <w:t>.</w:t>
      </w:r>
    </w:p>
    <w:p w14:paraId="2AEB0375" w14:textId="77777777" w:rsidR="00007A9A" w:rsidRPr="00755359" w:rsidRDefault="00007A9A" w:rsidP="002F1516">
      <w:pPr>
        <w:spacing w:after="234"/>
        <w:ind w:left="9" w:right="58"/>
        <w:rPr>
          <w:rFonts w:asciiTheme="minorHAnsi" w:hAnsiTheme="minorHAnsi" w:cstheme="minorBidi"/>
        </w:rPr>
      </w:pPr>
    </w:p>
    <w:p w14:paraId="15244F17" w14:textId="046B3445" w:rsidR="002F1516" w:rsidRPr="00006CAF" w:rsidRDefault="00EB7371" w:rsidP="00A43697">
      <w:pPr>
        <w:pStyle w:val="Heading1"/>
      </w:pPr>
      <w:bookmarkStart w:id="17" w:name="Bookmark14"/>
      <w:r>
        <w:t>K.</w:t>
      </w:r>
      <w:r>
        <w:tab/>
      </w:r>
      <w:r w:rsidR="002F1516" w:rsidRPr="33AD9453">
        <w:t xml:space="preserve">Further information </w:t>
      </w:r>
    </w:p>
    <w:bookmarkEnd w:id="17"/>
    <w:p w14:paraId="2CFAEAE4" w14:textId="3FFAE1FE" w:rsidR="002F1516" w:rsidRPr="00755359" w:rsidRDefault="002F1516" w:rsidP="00EB7371">
      <w:pPr>
        <w:ind w:left="9" w:right="58" w:firstLine="711"/>
        <w:rPr>
          <w:rFonts w:asciiTheme="minorHAnsi" w:hAnsiTheme="minorHAnsi" w:cstheme="minorBidi"/>
        </w:rPr>
      </w:pPr>
      <w:r w:rsidRPr="469E9F8D">
        <w:rPr>
          <w:rFonts w:asciiTheme="minorHAnsi" w:hAnsiTheme="minorHAnsi" w:cstheme="minorBidi"/>
        </w:rPr>
        <w:t xml:space="preserve">For further information in relation to any matter raised in this note, please contact: </w:t>
      </w:r>
    </w:p>
    <w:p w14:paraId="3111F5E2" w14:textId="72411EDA" w:rsidR="002F1516" w:rsidRDefault="002F1516" w:rsidP="00EB7371">
      <w:pPr>
        <w:spacing w:after="4" w:line="248" w:lineRule="auto"/>
        <w:ind w:left="9" w:right="0" w:firstLine="711"/>
        <w:jc w:val="left"/>
        <w:rPr>
          <w:rFonts w:asciiTheme="minorHAnsi" w:hAnsiTheme="minorHAnsi" w:cstheme="minorBidi"/>
          <w:color w:val="auto"/>
        </w:rPr>
      </w:pPr>
      <w:r w:rsidRPr="33AD9453">
        <w:rPr>
          <w:rFonts w:asciiTheme="minorHAnsi" w:hAnsiTheme="minorHAnsi" w:cstheme="minorBidi"/>
          <w:b/>
          <w:bCs/>
          <w:color w:val="auto"/>
        </w:rPr>
        <w:t>Legal Team:</w:t>
      </w:r>
      <w:r>
        <w:tab/>
      </w:r>
      <w:r>
        <w:tab/>
      </w:r>
      <w:r>
        <w:tab/>
      </w:r>
      <w:r w:rsidRPr="33AD9453">
        <w:rPr>
          <w:rFonts w:asciiTheme="minorHAnsi" w:hAnsiTheme="minorHAnsi" w:cstheme="minorBidi"/>
          <w:color w:val="auto"/>
        </w:rPr>
        <w:t xml:space="preserve"> </w:t>
      </w:r>
      <w:hyperlink r:id="rId21">
        <w:r w:rsidRPr="33AD9453">
          <w:rPr>
            <w:rStyle w:val="Hyperlink"/>
            <w:rFonts w:asciiTheme="minorHAnsi" w:hAnsiTheme="minorHAnsi" w:cstheme="minorBidi"/>
          </w:rPr>
          <w:t>legal@leedsbeckett.ac.uk</w:t>
        </w:r>
      </w:hyperlink>
    </w:p>
    <w:p w14:paraId="2A70EE97" w14:textId="00C0980E" w:rsidR="33AD9453" w:rsidRDefault="33AD9453" w:rsidP="33AD9453">
      <w:pPr>
        <w:spacing w:after="4" w:line="248" w:lineRule="auto"/>
        <w:ind w:left="9" w:right="0" w:firstLine="0"/>
        <w:jc w:val="left"/>
        <w:rPr>
          <w:rFonts w:asciiTheme="minorHAnsi" w:hAnsiTheme="minorHAnsi" w:cstheme="minorBidi"/>
        </w:rPr>
      </w:pPr>
    </w:p>
    <w:p w14:paraId="1912BCC4" w14:textId="051038BE" w:rsidR="002F1516" w:rsidRDefault="002F1516" w:rsidP="00EB7371">
      <w:pPr>
        <w:spacing w:after="4" w:line="248" w:lineRule="auto"/>
        <w:ind w:left="9" w:right="0" w:firstLine="711"/>
        <w:jc w:val="left"/>
        <w:rPr>
          <w:rFonts w:asciiTheme="minorHAnsi" w:hAnsiTheme="minorHAnsi" w:cstheme="minorBidi"/>
          <w:color w:val="auto"/>
        </w:rPr>
      </w:pPr>
      <w:r w:rsidRPr="33AD9453">
        <w:rPr>
          <w:rFonts w:asciiTheme="minorHAnsi" w:hAnsiTheme="minorHAnsi" w:cstheme="minorBidi"/>
          <w:b/>
          <w:bCs/>
          <w:color w:val="auto"/>
        </w:rPr>
        <w:t xml:space="preserve">Information </w:t>
      </w:r>
      <w:r w:rsidR="005F58D3" w:rsidRPr="33AD9453">
        <w:rPr>
          <w:rFonts w:asciiTheme="minorHAnsi" w:hAnsiTheme="minorHAnsi" w:cstheme="minorBidi"/>
          <w:b/>
          <w:bCs/>
          <w:color w:val="auto"/>
        </w:rPr>
        <w:t>Governance</w:t>
      </w:r>
      <w:r w:rsidRPr="33AD9453">
        <w:rPr>
          <w:rFonts w:asciiTheme="minorHAnsi" w:hAnsiTheme="minorHAnsi" w:cstheme="minorBidi"/>
          <w:b/>
          <w:bCs/>
          <w:color w:val="auto"/>
        </w:rPr>
        <w:t xml:space="preserve"> Team:</w:t>
      </w:r>
      <w:r w:rsidRPr="33AD9453">
        <w:rPr>
          <w:rFonts w:asciiTheme="minorHAnsi" w:hAnsiTheme="minorHAnsi" w:cstheme="minorBidi"/>
          <w:color w:val="auto"/>
        </w:rPr>
        <w:t xml:space="preserve"> </w:t>
      </w:r>
      <w:r>
        <w:tab/>
      </w:r>
      <w:hyperlink r:id="rId22">
        <w:r w:rsidRPr="33AD9453">
          <w:rPr>
            <w:rStyle w:val="Hyperlink"/>
            <w:rFonts w:asciiTheme="minorHAnsi" w:hAnsiTheme="minorHAnsi" w:cstheme="minorBidi"/>
          </w:rPr>
          <w:t>infocompliance@leedsbeckett.ac.uk</w:t>
        </w:r>
      </w:hyperlink>
    </w:p>
    <w:p w14:paraId="28597286" w14:textId="41AAA326" w:rsidR="33AD9453" w:rsidRDefault="33AD9453" w:rsidP="33AD9453">
      <w:pPr>
        <w:spacing w:after="4" w:line="248" w:lineRule="auto"/>
        <w:ind w:left="9" w:right="0" w:firstLine="0"/>
        <w:jc w:val="left"/>
        <w:rPr>
          <w:rFonts w:asciiTheme="minorHAnsi" w:hAnsiTheme="minorHAnsi" w:cstheme="minorBidi"/>
        </w:rPr>
      </w:pPr>
    </w:p>
    <w:p w14:paraId="414630E0" w14:textId="1C478635" w:rsidR="3B2A8A7E" w:rsidRDefault="3B2A8A7E" w:rsidP="00EB7371">
      <w:pPr>
        <w:spacing w:after="4" w:line="248" w:lineRule="auto"/>
        <w:ind w:left="9" w:right="0" w:firstLine="711"/>
        <w:jc w:val="left"/>
        <w:rPr>
          <w:rFonts w:ascii="Segoe UI" w:eastAsia="Segoe UI" w:hAnsi="Segoe UI" w:cs="Segoe UI"/>
          <w:sz w:val="18"/>
          <w:szCs w:val="18"/>
        </w:rPr>
      </w:pPr>
      <w:r w:rsidRPr="6A38A7B4">
        <w:rPr>
          <w:rFonts w:ascii="Segoe UI" w:eastAsia="Segoe UI" w:hAnsi="Segoe UI" w:cs="Segoe UI"/>
          <w:b/>
          <w:bCs/>
          <w:color w:val="333333"/>
          <w:sz w:val="18"/>
          <w:szCs w:val="18"/>
        </w:rPr>
        <w:t>Library research support</w:t>
      </w:r>
      <w:r w:rsidR="19D9031F" w:rsidRPr="33AD9453">
        <w:rPr>
          <w:rFonts w:ascii="Segoe UI" w:eastAsia="Segoe UI" w:hAnsi="Segoe UI" w:cs="Segoe UI"/>
          <w:b/>
          <w:bCs/>
          <w:color w:val="333333"/>
          <w:sz w:val="18"/>
          <w:szCs w:val="18"/>
        </w:rPr>
        <w:t>:</w:t>
      </w:r>
      <w:r>
        <w:tab/>
      </w:r>
      <w:r>
        <w:tab/>
      </w:r>
      <w:hyperlink r:id="rId23">
        <w:r w:rsidRPr="6A38A7B4">
          <w:rPr>
            <w:rStyle w:val="Hyperlink"/>
            <w:rFonts w:ascii="Segoe UI" w:eastAsia="Segoe UI" w:hAnsi="Segoe UI" w:cs="Segoe UI"/>
            <w:sz w:val="18"/>
            <w:szCs w:val="18"/>
          </w:rPr>
          <w:t>rdm@leedsbeckett.ac.uk</w:t>
        </w:r>
      </w:hyperlink>
      <w:r w:rsidRPr="6A38A7B4">
        <w:rPr>
          <w:rFonts w:ascii="Segoe UI" w:eastAsia="Segoe UI" w:hAnsi="Segoe UI" w:cs="Segoe UI"/>
          <w:color w:val="333333"/>
          <w:sz w:val="18"/>
          <w:szCs w:val="18"/>
        </w:rPr>
        <w:t xml:space="preserve">  or</w:t>
      </w:r>
    </w:p>
    <w:p w14:paraId="4E5727D4" w14:textId="1FC0DFC9" w:rsidR="001D3D7F" w:rsidRDefault="3B2A8A7E" w:rsidP="30EF7DEB">
      <w:pPr>
        <w:spacing w:after="4" w:line="248" w:lineRule="auto"/>
        <w:ind w:left="9" w:right="0" w:firstLine="0"/>
        <w:jc w:val="left"/>
        <w:rPr>
          <w:rFonts w:ascii="Segoe UI" w:eastAsia="Segoe UI" w:hAnsi="Segoe UI" w:cs="Segoe UI"/>
          <w:color w:val="333333"/>
          <w:sz w:val="18"/>
          <w:szCs w:val="18"/>
        </w:rPr>
      </w:pPr>
      <w:r w:rsidRPr="6A38A7B4">
        <w:rPr>
          <w:rFonts w:ascii="Segoe UI" w:eastAsia="Segoe UI" w:hAnsi="Segoe UI" w:cs="Segoe UI"/>
          <w:color w:val="333333"/>
          <w:sz w:val="18"/>
          <w:szCs w:val="18"/>
        </w:rPr>
        <w:t xml:space="preserve"> </w:t>
      </w:r>
      <w:r w:rsidR="001D3D7F">
        <w:rPr>
          <w:rFonts w:ascii="Segoe UI" w:eastAsia="Segoe UI" w:hAnsi="Segoe UI" w:cs="Segoe UI"/>
          <w:color w:val="333333"/>
          <w:sz w:val="18"/>
          <w:szCs w:val="18"/>
        </w:rPr>
        <w:tab/>
      </w:r>
      <w:r w:rsidR="001D3D7F">
        <w:rPr>
          <w:rFonts w:ascii="Segoe UI" w:eastAsia="Segoe UI" w:hAnsi="Segoe UI" w:cs="Segoe UI"/>
          <w:color w:val="333333"/>
          <w:sz w:val="18"/>
          <w:szCs w:val="18"/>
        </w:rPr>
        <w:tab/>
      </w:r>
      <w:r w:rsidR="00EB7371">
        <w:rPr>
          <w:rFonts w:ascii="Segoe UI" w:eastAsia="Segoe UI" w:hAnsi="Segoe UI" w:cs="Segoe UI"/>
          <w:color w:val="333333"/>
          <w:sz w:val="18"/>
          <w:szCs w:val="18"/>
        </w:rPr>
        <w:tab/>
      </w:r>
      <w:r w:rsidR="001D3D7F">
        <w:rPr>
          <w:rFonts w:ascii="Segoe UI" w:eastAsia="Segoe UI" w:hAnsi="Segoe UI" w:cs="Segoe UI"/>
          <w:color w:val="333333"/>
          <w:sz w:val="18"/>
          <w:szCs w:val="18"/>
        </w:rPr>
        <w:tab/>
      </w:r>
      <w:r w:rsidR="001D3D7F">
        <w:rPr>
          <w:rFonts w:ascii="Segoe UI" w:eastAsia="Segoe UI" w:hAnsi="Segoe UI" w:cs="Segoe UI"/>
          <w:color w:val="333333"/>
          <w:sz w:val="18"/>
          <w:szCs w:val="18"/>
        </w:rPr>
        <w:tab/>
      </w:r>
      <w:hyperlink r:id="rId24" w:history="1">
        <w:r w:rsidR="001D3D7F" w:rsidRPr="0042527A">
          <w:rPr>
            <w:rStyle w:val="Hyperlink"/>
            <w:rFonts w:ascii="Segoe UI" w:eastAsia="Segoe UI" w:hAnsi="Segoe UI" w:cs="Segoe UI"/>
            <w:sz w:val="18"/>
            <w:szCs w:val="18"/>
          </w:rPr>
          <w:t>openaccess@leedsbeckett.ac.uk</w:t>
        </w:r>
      </w:hyperlink>
    </w:p>
    <w:p w14:paraId="6123C51D" w14:textId="08F1FA8E" w:rsidR="3B2A8A7E" w:rsidRDefault="001D3D7F" w:rsidP="30EF7DEB">
      <w:pPr>
        <w:spacing w:after="4" w:line="248" w:lineRule="auto"/>
        <w:ind w:left="9" w:right="0" w:firstLine="0"/>
        <w:jc w:val="left"/>
        <w:rPr>
          <w:rFonts w:ascii="Segoe UI" w:eastAsia="Segoe UI" w:hAnsi="Segoe UI" w:cs="Segoe UI"/>
          <w:sz w:val="18"/>
          <w:szCs w:val="18"/>
        </w:rPr>
      </w:pPr>
      <w:r>
        <w:rPr>
          <w:rFonts w:ascii="Segoe UI" w:eastAsia="Segoe UI" w:hAnsi="Segoe UI" w:cs="Segoe UI"/>
          <w:color w:val="333333"/>
          <w:sz w:val="18"/>
          <w:szCs w:val="18"/>
        </w:rPr>
        <w:tab/>
      </w:r>
      <w:r>
        <w:rPr>
          <w:rFonts w:ascii="Segoe UI" w:eastAsia="Segoe UI" w:hAnsi="Segoe UI" w:cs="Segoe UI"/>
          <w:color w:val="333333"/>
          <w:sz w:val="18"/>
          <w:szCs w:val="18"/>
        </w:rPr>
        <w:tab/>
      </w:r>
      <w:r>
        <w:rPr>
          <w:rFonts w:ascii="Segoe UI" w:eastAsia="Segoe UI" w:hAnsi="Segoe UI" w:cs="Segoe UI"/>
          <w:color w:val="333333"/>
          <w:sz w:val="18"/>
          <w:szCs w:val="18"/>
        </w:rPr>
        <w:tab/>
      </w:r>
      <w:r>
        <w:rPr>
          <w:rFonts w:ascii="Segoe UI" w:eastAsia="Segoe UI" w:hAnsi="Segoe UI" w:cs="Segoe UI"/>
          <w:color w:val="333333"/>
          <w:sz w:val="18"/>
          <w:szCs w:val="18"/>
        </w:rPr>
        <w:tab/>
      </w:r>
      <w:hyperlink r:id="rId25">
        <w:r w:rsidR="2BBF0682" w:rsidRPr="6A38A7B4">
          <w:rPr>
            <w:rStyle w:val="Hyperlink"/>
            <w:rFonts w:ascii="Segoe UI" w:eastAsia="Segoe UI" w:hAnsi="Segoe UI" w:cs="Segoe UI"/>
            <w:sz w:val="18"/>
            <w:szCs w:val="18"/>
          </w:rPr>
          <w:t>Welcome - Research Support - The Library at Leeds Beckett University</w:t>
        </w:r>
      </w:hyperlink>
    </w:p>
    <w:p w14:paraId="5F9A0C8B" w14:textId="181C3065" w:rsidR="33AD9453" w:rsidRDefault="33AD9453" w:rsidP="33AD9453">
      <w:pPr>
        <w:spacing w:after="4" w:line="248" w:lineRule="auto"/>
        <w:ind w:left="9" w:right="0" w:firstLine="0"/>
        <w:jc w:val="left"/>
        <w:rPr>
          <w:rFonts w:ascii="Segoe UI" w:eastAsia="Segoe UI" w:hAnsi="Segoe UI" w:cs="Segoe UI"/>
          <w:sz w:val="18"/>
          <w:szCs w:val="18"/>
        </w:rPr>
      </w:pPr>
    </w:p>
    <w:p w14:paraId="2AC9105C" w14:textId="72D39240" w:rsidR="06E08850" w:rsidRDefault="6EB38E17" w:rsidP="00EB7371">
      <w:pPr>
        <w:spacing w:after="4" w:line="248" w:lineRule="auto"/>
        <w:ind w:left="720" w:right="0" w:firstLine="0"/>
        <w:jc w:val="left"/>
        <w:rPr>
          <w:rStyle w:val="Hyperlink"/>
          <w:rFonts w:asciiTheme="minorHAnsi" w:hAnsiTheme="minorHAnsi" w:cstheme="minorBidi"/>
        </w:rPr>
      </w:pPr>
      <w:r w:rsidRPr="30EF7DEB">
        <w:rPr>
          <w:rFonts w:asciiTheme="minorHAnsi" w:hAnsiTheme="minorHAnsi" w:cstheme="minorBidi"/>
          <w:b/>
          <w:bCs/>
        </w:rPr>
        <w:t>R</w:t>
      </w:r>
      <w:r w:rsidRPr="30EF7DEB">
        <w:rPr>
          <w:rFonts w:asciiTheme="minorHAnsi" w:hAnsiTheme="minorHAnsi" w:cstheme="minorBidi"/>
          <w:b/>
          <w:bCs/>
          <w:color w:val="auto"/>
        </w:rPr>
        <w:t xml:space="preserve">esearch Information and Governance Team: </w:t>
      </w:r>
      <w:r w:rsidR="1B587FAE" w:rsidRPr="30EF7DEB">
        <w:rPr>
          <w:rFonts w:asciiTheme="minorHAnsi" w:hAnsiTheme="minorHAnsi" w:cstheme="minorBidi"/>
          <w:b/>
          <w:bCs/>
          <w:color w:val="auto"/>
        </w:rPr>
        <w:t xml:space="preserve">Research Information and Governance: </w:t>
      </w:r>
      <w:hyperlink r:id="rId26" w:history="1">
        <w:r w:rsidR="00EB7371" w:rsidRPr="00EF02BA">
          <w:rPr>
            <w:rStyle w:val="Hyperlink"/>
            <w:rFonts w:asciiTheme="minorHAnsi" w:hAnsiTheme="minorHAnsi" w:cstheme="minorBidi"/>
          </w:rPr>
          <w:t>ResearchInfoandGovernance@leedsbeckett.ac.uk</w:t>
        </w:r>
      </w:hyperlink>
    </w:p>
    <w:p w14:paraId="201F9B05" w14:textId="778AD060" w:rsidR="0057496D" w:rsidRDefault="0057496D" w:rsidP="30EF7DEB">
      <w:pPr>
        <w:spacing w:after="4" w:line="248" w:lineRule="auto"/>
        <w:ind w:left="9" w:right="0" w:firstLine="0"/>
        <w:jc w:val="left"/>
      </w:pPr>
    </w:p>
    <w:p w14:paraId="6A848C74" w14:textId="611350F2" w:rsidR="2D9203D7" w:rsidRDefault="2D9203D7" w:rsidP="00E34942">
      <w:pPr>
        <w:spacing w:after="4" w:line="248" w:lineRule="auto"/>
        <w:ind w:left="0" w:right="0" w:firstLine="0"/>
        <w:jc w:val="left"/>
        <w:rPr>
          <w:rFonts w:asciiTheme="minorHAnsi" w:hAnsiTheme="minorHAnsi" w:cstheme="minorBidi"/>
          <w:b/>
          <w:bCs/>
          <w:color w:val="auto"/>
          <w:szCs w:val="20"/>
        </w:rPr>
      </w:pPr>
    </w:p>
    <w:p w14:paraId="78D58BF6" w14:textId="3B97360D" w:rsidR="005F58D3" w:rsidRDefault="35837186" w:rsidP="00A43697">
      <w:pPr>
        <w:pStyle w:val="Heading1"/>
      </w:pPr>
      <w:r w:rsidRPr="33AD9453">
        <w:t>Useful Resources and references</w:t>
      </w:r>
    </w:p>
    <w:p w14:paraId="034C906E" w14:textId="778E3CCB" w:rsidR="6DDD577A" w:rsidRDefault="00AC3044" w:rsidP="002B0B25">
      <w:pPr>
        <w:spacing w:after="0" w:line="240" w:lineRule="auto"/>
        <w:ind w:left="0" w:right="58" w:firstLine="0"/>
        <w:rPr>
          <w:rFonts w:ascii="Calibri" w:eastAsia="Calibri" w:hAnsi="Calibri" w:cs="Calibri"/>
        </w:rPr>
      </w:pPr>
      <w:hyperlink r:id="rId27">
        <w:r w:rsidR="6DDD577A" w:rsidRPr="33AD9453">
          <w:rPr>
            <w:rStyle w:val="Hyperlink"/>
            <w:rFonts w:ascii="Calibri" w:eastAsia="Calibri" w:hAnsi="Calibri" w:cs="Calibri"/>
          </w:rPr>
          <w:t>General Data Protection Regulation and Research Integrity - UK Research Integrity Office (ukrio.org)</w:t>
        </w:r>
      </w:hyperlink>
    </w:p>
    <w:p w14:paraId="54B54DB0" w14:textId="4F4D528A" w:rsidR="24C3320A" w:rsidRDefault="00AC3044" w:rsidP="002B0B25">
      <w:pPr>
        <w:spacing w:after="0" w:line="240" w:lineRule="auto"/>
        <w:rPr>
          <w:rStyle w:val="Hyperlink"/>
          <w:rFonts w:ascii="Calibri" w:eastAsia="Calibri" w:hAnsi="Calibri" w:cs="Calibri"/>
        </w:rPr>
      </w:pPr>
      <w:hyperlink r:id="rId28">
        <w:r w:rsidR="24C3320A" w:rsidRPr="33AD9453">
          <w:rPr>
            <w:rStyle w:val="Hyperlink"/>
            <w:rFonts w:ascii="Calibri" w:eastAsia="Calibri" w:hAnsi="Calibri" w:cs="Calibri"/>
          </w:rPr>
          <w:t>Guide to the UK General Data Protection Regulation (UK GDPR) | ICO</w:t>
        </w:r>
      </w:hyperlink>
    </w:p>
    <w:p w14:paraId="21633AA2" w14:textId="6028F0FC" w:rsidR="08570047" w:rsidRDefault="00AC3044" w:rsidP="002B0B25">
      <w:pPr>
        <w:spacing w:after="0" w:line="240" w:lineRule="auto"/>
        <w:rPr>
          <w:rFonts w:ascii="Calibri" w:eastAsia="Calibri" w:hAnsi="Calibri" w:cs="Calibri"/>
        </w:rPr>
      </w:pPr>
      <w:hyperlink r:id="rId29">
        <w:r w:rsidR="08570047" w:rsidRPr="33AD9453">
          <w:rPr>
            <w:rStyle w:val="Hyperlink"/>
            <w:rFonts w:ascii="Calibri" w:eastAsia="Calibri" w:hAnsi="Calibri" w:cs="Calibri"/>
          </w:rPr>
          <w:t>Data protection and GDPR | Jisc</w:t>
        </w:r>
      </w:hyperlink>
    </w:p>
    <w:p w14:paraId="508AA3B1" w14:textId="30118704" w:rsidR="06FDD2B3" w:rsidRDefault="00AC3044" w:rsidP="002B0B25">
      <w:pPr>
        <w:spacing w:after="0" w:line="240" w:lineRule="auto"/>
        <w:rPr>
          <w:rFonts w:ascii="Calibri" w:eastAsia="Calibri" w:hAnsi="Calibri" w:cs="Calibri"/>
          <w:szCs w:val="20"/>
        </w:rPr>
      </w:pPr>
      <w:hyperlink r:id="rId30">
        <w:r w:rsidR="06FDD2B3" w:rsidRPr="713BE73A">
          <w:rPr>
            <w:rStyle w:val="Hyperlink"/>
            <w:rFonts w:ascii="Calibri" w:eastAsia="Calibri" w:hAnsi="Calibri" w:cs="Calibri"/>
            <w:sz w:val="22"/>
          </w:rPr>
          <w:t>Managing user research data and participant privacy - Service Manual - GOV.UK (www.gov.uk)</w:t>
        </w:r>
      </w:hyperlink>
    </w:p>
    <w:p w14:paraId="08C4DAFE" w14:textId="7AD0367C" w:rsidR="06FDD2B3" w:rsidRDefault="00AC3044" w:rsidP="002B0B25">
      <w:pPr>
        <w:spacing w:after="0" w:line="240" w:lineRule="auto"/>
        <w:rPr>
          <w:rFonts w:ascii="Calibri" w:eastAsia="Calibri" w:hAnsi="Calibri" w:cs="Calibri"/>
          <w:sz w:val="22"/>
        </w:rPr>
      </w:pPr>
      <w:hyperlink r:id="rId31">
        <w:r w:rsidR="06FDD2B3" w:rsidRPr="713BE73A">
          <w:rPr>
            <w:rStyle w:val="Hyperlink"/>
            <w:rFonts w:ascii="Calibri" w:eastAsia="Calibri" w:hAnsi="Calibri" w:cs="Calibri"/>
            <w:sz w:val="22"/>
          </w:rPr>
          <w:t>GDPR guidance - Health Research Authority (hra.nhs.uk)</w:t>
        </w:r>
      </w:hyperlink>
    </w:p>
    <w:p w14:paraId="0D59A660" w14:textId="6CA3E7A1" w:rsidR="06FDD2B3" w:rsidRDefault="00AC3044" w:rsidP="002B0B25">
      <w:pPr>
        <w:spacing w:after="0" w:line="240" w:lineRule="auto"/>
        <w:rPr>
          <w:rStyle w:val="Hyperlink"/>
          <w:rFonts w:ascii="Calibri" w:eastAsia="Calibri" w:hAnsi="Calibri" w:cs="Calibri"/>
          <w:szCs w:val="20"/>
        </w:rPr>
      </w:pPr>
      <w:hyperlink r:id="rId32">
        <w:r w:rsidR="06FDD2B3" w:rsidRPr="713BE73A">
          <w:rPr>
            <w:rStyle w:val="Hyperlink"/>
            <w:rFonts w:ascii="Calibri" w:eastAsia="Calibri" w:hAnsi="Calibri" w:cs="Calibri"/>
            <w:szCs w:val="20"/>
          </w:rPr>
          <w:t>The Data Protection Act and GDPR — UK Data Service</w:t>
        </w:r>
      </w:hyperlink>
    </w:p>
    <w:p w14:paraId="476503FD" w14:textId="4021E6E2" w:rsidR="06FDD2B3" w:rsidRDefault="00AC3044" w:rsidP="713BE73A">
      <w:pPr>
        <w:rPr>
          <w:rFonts w:ascii="Calibri" w:eastAsia="Calibri" w:hAnsi="Calibri" w:cs="Calibri"/>
          <w:sz w:val="22"/>
        </w:rPr>
      </w:pPr>
      <w:hyperlink r:id="rId33">
        <w:r w:rsidR="06FDD2B3" w:rsidRPr="713BE73A">
          <w:rPr>
            <w:rStyle w:val="Hyperlink"/>
            <w:rFonts w:ascii="Calibri" w:eastAsia="Calibri" w:hAnsi="Calibri" w:cs="Calibri"/>
            <w:szCs w:val="20"/>
          </w:rPr>
          <w:t>GDPR and research – an overview for researchers – UKRI</w:t>
        </w:r>
      </w:hyperlink>
    </w:p>
    <w:p w14:paraId="6BAA62FF" w14:textId="3DEF02B6" w:rsidR="005F58D3" w:rsidRDefault="23A1D5E7" w:rsidP="30EF7DEB">
      <w:pPr>
        <w:spacing w:after="124"/>
        <w:ind w:left="44" w:right="58" w:firstLine="0"/>
        <w:rPr>
          <w:rFonts w:asciiTheme="minorHAnsi" w:hAnsiTheme="minorHAnsi" w:cstheme="minorBidi"/>
          <w:color w:val="auto"/>
        </w:rPr>
      </w:pPr>
      <w:r w:rsidRPr="33AD9453">
        <w:rPr>
          <w:rFonts w:asciiTheme="minorHAnsi" w:hAnsiTheme="minorHAnsi" w:cstheme="minorBidi"/>
          <w:color w:val="auto"/>
        </w:rPr>
        <w:t xml:space="preserve">Additional guidance on the management of Research data is available in the </w:t>
      </w:r>
      <w:r w:rsidR="666E582E" w:rsidRPr="33AD9453">
        <w:rPr>
          <w:rFonts w:asciiTheme="minorHAnsi" w:hAnsiTheme="minorHAnsi" w:cstheme="minorBidi"/>
          <w:color w:val="auto"/>
        </w:rPr>
        <w:t>university</w:t>
      </w:r>
      <w:r w:rsidRPr="33AD9453">
        <w:rPr>
          <w:rFonts w:asciiTheme="minorHAnsi" w:hAnsiTheme="minorHAnsi" w:cstheme="minorBidi"/>
          <w:color w:val="auto"/>
        </w:rPr>
        <w:t xml:space="preserve">’s </w:t>
      </w:r>
      <w:hyperlink r:id="rId34">
        <w:r w:rsidRPr="33AD9453">
          <w:rPr>
            <w:rStyle w:val="Hyperlink"/>
            <w:rFonts w:asciiTheme="minorHAnsi" w:hAnsiTheme="minorHAnsi" w:cstheme="minorBidi"/>
          </w:rPr>
          <w:t>Open Research Policy</w:t>
        </w:r>
      </w:hyperlink>
      <w:r w:rsidRPr="33AD9453">
        <w:rPr>
          <w:rFonts w:asciiTheme="minorHAnsi" w:hAnsiTheme="minorHAnsi" w:cstheme="minorBidi"/>
          <w:color w:val="auto"/>
        </w:rPr>
        <w:t xml:space="preserve">, </w:t>
      </w:r>
      <w:hyperlink r:id="rId35">
        <w:r w:rsidRPr="33AD9453">
          <w:rPr>
            <w:rStyle w:val="Hyperlink"/>
            <w:rFonts w:asciiTheme="minorHAnsi" w:hAnsiTheme="minorHAnsi" w:cstheme="minorBidi"/>
          </w:rPr>
          <w:t>Data Management Plan</w:t>
        </w:r>
      </w:hyperlink>
      <w:r w:rsidRPr="33AD9453">
        <w:rPr>
          <w:rFonts w:asciiTheme="minorHAnsi" w:hAnsiTheme="minorHAnsi" w:cstheme="minorBidi"/>
          <w:color w:val="auto"/>
        </w:rPr>
        <w:t xml:space="preserve">, Research &amp; Ethics Policy and from </w:t>
      </w:r>
      <w:hyperlink r:id="rId36">
        <w:r w:rsidRPr="33AD9453">
          <w:rPr>
            <w:rStyle w:val="Hyperlink"/>
            <w:rFonts w:asciiTheme="minorHAnsi" w:hAnsiTheme="minorHAnsi" w:cstheme="minorBidi"/>
          </w:rPr>
          <w:t>Library Research Services</w:t>
        </w:r>
      </w:hyperlink>
      <w:r w:rsidRPr="33AD9453">
        <w:rPr>
          <w:rFonts w:asciiTheme="minorHAnsi" w:hAnsiTheme="minorHAnsi" w:cstheme="minorBidi"/>
          <w:color w:val="auto"/>
        </w:rPr>
        <w:t>.</w:t>
      </w:r>
    </w:p>
    <w:p w14:paraId="0830B533" w14:textId="6453299D" w:rsidR="008064E2" w:rsidRDefault="55C06961" w:rsidP="00007A9A">
      <w:pPr>
        <w:spacing w:after="124"/>
        <w:ind w:right="58"/>
        <w:rPr>
          <w:rFonts w:asciiTheme="minorHAnsi" w:hAnsiTheme="minorHAnsi" w:cstheme="minorBidi"/>
          <w:b/>
        </w:rPr>
      </w:pPr>
      <w:r w:rsidRPr="33AD9453">
        <w:rPr>
          <w:rFonts w:ascii="Segoe UI" w:eastAsia="Segoe UI" w:hAnsi="Segoe UI" w:cs="Segoe UI"/>
          <w:color w:val="333333"/>
          <w:sz w:val="18"/>
          <w:szCs w:val="18"/>
        </w:rPr>
        <w:t xml:space="preserve">Guidance on anonymisation within the CESSDA </w:t>
      </w:r>
      <w:proofErr w:type="gramStart"/>
      <w:r w:rsidRPr="33AD9453">
        <w:rPr>
          <w:rFonts w:ascii="Segoe UI" w:eastAsia="Segoe UI" w:hAnsi="Segoe UI" w:cs="Segoe UI"/>
          <w:color w:val="333333"/>
          <w:sz w:val="18"/>
          <w:szCs w:val="18"/>
        </w:rPr>
        <w:t>guidance :</w:t>
      </w:r>
      <w:proofErr w:type="gramEnd"/>
      <w:r w:rsidRPr="33AD9453">
        <w:rPr>
          <w:rFonts w:ascii="Segoe UI" w:eastAsia="Segoe UI" w:hAnsi="Segoe UI" w:cs="Segoe UI"/>
          <w:color w:val="333333"/>
          <w:sz w:val="18"/>
          <w:szCs w:val="18"/>
        </w:rPr>
        <w:t xml:space="preserve"> </w:t>
      </w:r>
      <w:hyperlink r:id="rId37">
        <w:r w:rsidRPr="33AD9453">
          <w:rPr>
            <w:rStyle w:val="Hyperlink"/>
            <w:rFonts w:ascii="Segoe UI" w:eastAsia="Segoe UI" w:hAnsi="Segoe UI" w:cs="Segoe UI"/>
            <w:sz w:val="18"/>
            <w:szCs w:val="18"/>
          </w:rPr>
          <w:t>https://dmeg.cessda.eu/Data-Management-Expert-Guide/5.-Protect/Processing-personal-data</w:t>
        </w:r>
      </w:hyperlink>
      <w:r w:rsidRPr="33AD9453">
        <w:rPr>
          <w:rFonts w:ascii="Segoe UI" w:eastAsia="Segoe UI" w:hAnsi="Segoe UI" w:cs="Segoe UI"/>
          <w:color w:val="333333"/>
          <w:sz w:val="18"/>
          <w:szCs w:val="18"/>
        </w:rPr>
        <w:t xml:space="preserve"> </w:t>
      </w:r>
      <w:r w:rsidR="008064E2">
        <w:rPr>
          <w:rFonts w:asciiTheme="minorHAnsi" w:hAnsiTheme="minorHAnsi" w:cstheme="minorBidi"/>
          <w:b/>
        </w:rPr>
        <w:br w:type="page"/>
      </w:r>
    </w:p>
    <w:p w14:paraId="2A746DA6" w14:textId="72AA3E9B" w:rsidR="00197F68" w:rsidRPr="00755359" w:rsidRDefault="009F7A8F" w:rsidP="00241201">
      <w:pPr>
        <w:pStyle w:val="Heading1"/>
      </w:pPr>
      <w:bookmarkStart w:id="18" w:name="_Appendix_A"/>
      <w:bookmarkStart w:id="19" w:name="Bookmark15"/>
      <w:bookmarkEnd w:id="18"/>
      <w:r w:rsidRPr="33AD9453">
        <w:lastRenderedPageBreak/>
        <w:t>Appendix A</w:t>
      </w:r>
      <w:r w:rsidR="00B07E67" w:rsidRPr="33AD9453">
        <w:t xml:space="preserve"> </w:t>
      </w:r>
    </w:p>
    <w:bookmarkEnd w:id="19"/>
    <w:p w14:paraId="4F9F553E" w14:textId="30B6E422" w:rsidR="00197F68" w:rsidRPr="00755359" w:rsidRDefault="00197F68" w:rsidP="00241201">
      <w:pPr>
        <w:spacing w:after="0" w:line="259" w:lineRule="auto"/>
        <w:ind w:right="0"/>
        <w:jc w:val="left"/>
        <w:rPr>
          <w:rFonts w:asciiTheme="minorHAnsi" w:hAnsiTheme="minorHAnsi" w:cstheme="minorHAnsi"/>
        </w:rPr>
      </w:pPr>
    </w:p>
    <w:p w14:paraId="2E960EE1" w14:textId="0B196DD4" w:rsidR="00197F68" w:rsidRPr="00755359" w:rsidRDefault="0010750E" w:rsidP="00E34942">
      <w:pPr>
        <w:pStyle w:val="Heading2"/>
        <w:ind w:left="0"/>
      </w:pPr>
      <w:bookmarkStart w:id="20" w:name="Bookmark11"/>
      <w:r w:rsidRPr="469E9F8D">
        <w:t>G</w:t>
      </w:r>
      <w:r w:rsidR="00F05F07" w:rsidRPr="469E9F8D">
        <w:t>eneral Data Protection Regulation 2016 (GDPR)</w:t>
      </w:r>
      <w:r w:rsidRPr="469E9F8D">
        <w:t>/</w:t>
      </w:r>
      <w:r w:rsidR="00B07E67" w:rsidRPr="469E9F8D">
        <w:t xml:space="preserve">Data Protection </w:t>
      </w:r>
      <w:r w:rsidR="00F05F07" w:rsidRPr="469E9F8D">
        <w:t xml:space="preserve">Act 2018 (DPA18) </w:t>
      </w:r>
      <w:r w:rsidR="00B07E67" w:rsidRPr="469E9F8D">
        <w:t xml:space="preserve">Checklist </w:t>
      </w:r>
      <w:bookmarkEnd w:id="20"/>
      <w:r w:rsidR="00B07E67" w:rsidRPr="469E9F8D">
        <w:t xml:space="preserve"> </w:t>
      </w:r>
    </w:p>
    <w:p w14:paraId="4DC5A208" w14:textId="735ABCE6" w:rsidR="00197F68" w:rsidRPr="00755359" w:rsidRDefault="00197F68">
      <w:pPr>
        <w:spacing w:after="0" w:line="259" w:lineRule="auto"/>
        <w:ind w:left="14" w:right="0" w:firstLine="0"/>
        <w:jc w:val="left"/>
        <w:rPr>
          <w:rFonts w:asciiTheme="minorHAnsi" w:hAnsiTheme="minorHAnsi" w:cstheme="minorHAnsi"/>
        </w:rPr>
      </w:pPr>
    </w:p>
    <w:p w14:paraId="31E5F402" w14:textId="77777777" w:rsidR="00197F68" w:rsidRPr="00755359" w:rsidRDefault="00B07E67">
      <w:pPr>
        <w:spacing w:after="110"/>
        <w:ind w:left="9" w:right="58"/>
        <w:rPr>
          <w:rFonts w:asciiTheme="minorHAnsi" w:hAnsiTheme="minorHAnsi" w:cstheme="minorHAnsi"/>
        </w:rPr>
      </w:pPr>
      <w:r w:rsidRPr="00755359">
        <w:rPr>
          <w:rFonts w:asciiTheme="minorHAnsi" w:hAnsiTheme="minorHAnsi" w:cstheme="minorHAnsi"/>
        </w:rPr>
        <w:t xml:space="preserve">Section 1 should be considered when drafting information for participants and consent forms.  </w:t>
      </w:r>
    </w:p>
    <w:p w14:paraId="5DCEC82B" w14:textId="12D30999" w:rsidR="00197F68" w:rsidRPr="00755359" w:rsidRDefault="00B07E67">
      <w:pPr>
        <w:spacing w:after="0"/>
        <w:ind w:left="9" w:right="58"/>
        <w:rPr>
          <w:rFonts w:asciiTheme="minorHAnsi" w:hAnsiTheme="minorHAnsi" w:cstheme="minorHAnsi"/>
        </w:rPr>
      </w:pPr>
      <w:r w:rsidRPr="00755359">
        <w:rPr>
          <w:rFonts w:asciiTheme="minorHAnsi" w:hAnsiTheme="minorHAnsi" w:cstheme="minorHAnsi"/>
        </w:rPr>
        <w:t>Sections 2 to 9 should be considered when completing the sections in the ethics application form</w:t>
      </w:r>
      <w:r w:rsidR="00872A0C">
        <w:rPr>
          <w:rFonts w:asciiTheme="minorHAnsi" w:hAnsiTheme="minorHAnsi" w:cstheme="minorHAnsi"/>
        </w:rPr>
        <w:t>.</w:t>
      </w:r>
    </w:p>
    <w:p w14:paraId="60E1F27C" w14:textId="77777777" w:rsidR="00197F68" w:rsidRPr="00755359" w:rsidRDefault="00B07E67">
      <w:pPr>
        <w:spacing w:after="0" w:line="259" w:lineRule="auto"/>
        <w:ind w:left="14" w:right="0" w:firstLine="0"/>
        <w:jc w:val="left"/>
        <w:rPr>
          <w:rFonts w:asciiTheme="minorHAnsi" w:hAnsiTheme="minorHAnsi" w:cstheme="minorHAnsi"/>
        </w:rPr>
      </w:pPr>
      <w:r w:rsidRPr="00755359">
        <w:rPr>
          <w:rFonts w:asciiTheme="minorHAnsi" w:hAnsiTheme="minorHAnsi" w:cstheme="minorHAnsi"/>
        </w:rPr>
        <w:t xml:space="preserve"> </w:t>
      </w:r>
    </w:p>
    <w:tbl>
      <w:tblPr>
        <w:tblStyle w:val="TableGrid1"/>
        <w:tblW w:w="9784" w:type="dxa"/>
        <w:tblInd w:w="-269" w:type="dxa"/>
        <w:tblCellMar>
          <w:top w:w="52" w:type="dxa"/>
          <w:left w:w="108" w:type="dxa"/>
          <w:right w:w="82" w:type="dxa"/>
        </w:tblCellMar>
        <w:tblLook w:val="04A0" w:firstRow="1" w:lastRow="0" w:firstColumn="1" w:lastColumn="0" w:noHBand="0" w:noVBand="1"/>
      </w:tblPr>
      <w:tblGrid>
        <w:gridCol w:w="9784"/>
      </w:tblGrid>
      <w:tr w:rsidR="00197F68" w:rsidRPr="00755359" w14:paraId="482D1A45" w14:textId="77777777" w:rsidTr="06E08850">
        <w:trPr>
          <w:trHeight w:val="811"/>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06938" w14:textId="77777777" w:rsidR="00197F68" w:rsidRPr="00755359" w:rsidRDefault="00B07E67">
            <w:pPr>
              <w:spacing w:after="139" w:line="259" w:lineRule="auto"/>
              <w:ind w:left="0" w:right="0" w:firstLine="0"/>
              <w:jc w:val="left"/>
              <w:rPr>
                <w:rFonts w:asciiTheme="minorHAnsi" w:hAnsiTheme="minorHAnsi" w:cstheme="minorHAnsi"/>
              </w:rPr>
            </w:pPr>
            <w:r w:rsidRPr="00755359">
              <w:rPr>
                <w:rFonts w:asciiTheme="minorHAnsi" w:hAnsiTheme="minorHAnsi" w:cstheme="minorHAnsi"/>
                <w:b/>
                <w:u w:val="single" w:color="000000"/>
              </w:rPr>
              <w:t>Transparency</w:t>
            </w:r>
            <w:r w:rsidRPr="00755359">
              <w:rPr>
                <w:rFonts w:asciiTheme="minorHAnsi" w:hAnsiTheme="minorHAnsi" w:cstheme="minorHAnsi"/>
                <w:b/>
              </w:rPr>
              <w:t xml:space="preserve"> </w:t>
            </w:r>
          </w:p>
          <w:p w14:paraId="117171F2"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1. Does the information to be provided to participants indicate: </w:t>
            </w:r>
          </w:p>
        </w:tc>
      </w:tr>
      <w:tr w:rsidR="00197F68" w:rsidRPr="00755359" w14:paraId="40579B77" w14:textId="77777777" w:rsidTr="06E08850">
        <w:trPr>
          <w:trHeight w:val="493"/>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9C3E" w14:textId="77777777" w:rsidR="00197F68" w:rsidRPr="00755359" w:rsidRDefault="00B07E67">
            <w:pPr>
              <w:spacing w:after="0" w:line="259" w:lineRule="auto"/>
              <w:ind w:left="312" w:right="0" w:firstLine="0"/>
              <w:jc w:val="left"/>
              <w:rPr>
                <w:rFonts w:asciiTheme="minorHAnsi" w:hAnsiTheme="minorHAnsi" w:cstheme="minorHAnsi"/>
              </w:rPr>
            </w:pPr>
            <w:r w:rsidRPr="00755359">
              <w:rPr>
                <w:rFonts w:asciiTheme="minorHAnsi" w:hAnsiTheme="minorHAnsi" w:cstheme="minorHAnsi"/>
              </w:rPr>
              <w:t xml:space="preserve">a. the purposes for which their personal data/special category data will be processed? </w:t>
            </w:r>
          </w:p>
        </w:tc>
      </w:tr>
      <w:tr w:rsidR="00197F68" w:rsidRPr="00755359" w14:paraId="57CEC816"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3ECC2" w14:textId="77777777" w:rsidR="00197F68" w:rsidRPr="00755359" w:rsidRDefault="00B07E67">
            <w:pPr>
              <w:spacing w:after="0" w:line="259" w:lineRule="auto"/>
              <w:ind w:left="312" w:right="0" w:firstLine="0"/>
              <w:jc w:val="left"/>
              <w:rPr>
                <w:rFonts w:asciiTheme="minorHAnsi" w:hAnsiTheme="minorHAnsi" w:cstheme="minorHAnsi"/>
              </w:rPr>
            </w:pPr>
            <w:r w:rsidRPr="00755359">
              <w:rPr>
                <w:rFonts w:asciiTheme="minorHAnsi" w:hAnsiTheme="minorHAnsi" w:cstheme="minorHAnsi"/>
              </w:rPr>
              <w:t xml:space="preserve">b. the people or organisations their personal data/special category data will be shared with? </w:t>
            </w:r>
          </w:p>
        </w:tc>
      </w:tr>
      <w:tr w:rsidR="00197F68" w:rsidRPr="00755359" w14:paraId="276BC2FC" w14:textId="77777777" w:rsidTr="06E08850">
        <w:trPr>
          <w:trHeight w:val="73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EC657" w14:textId="46FDFDB5" w:rsidR="00197F68" w:rsidRPr="00755359" w:rsidRDefault="00B07E67">
            <w:pPr>
              <w:spacing w:after="0" w:line="259" w:lineRule="auto"/>
              <w:ind w:left="312" w:right="0" w:firstLine="0"/>
              <w:jc w:val="left"/>
              <w:rPr>
                <w:rFonts w:asciiTheme="minorHAnsi" w:hAnsiTheme="minorHAnsi" w:cstheme="minorBidi"/>
              </w:rPr>
            </w:pPr>
            <w:r w:rsidRPr="33AD9453">
              <w:rPr>
                <w:rFonts w:asciiTheme="minorHAnsi" w:hAnsiTheme="minorHAnsi" w:cstheme="minorBidi"/>
              </w:rPr>
              <w:t xml:space="preserve">c. the legal basis for the processing of their personal data/special category data? NB. For the majority of </w:t>
            </w:r>
            <w:r w:rsidR="57848BFD"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 xml:space="preserve"> research, it is recommended that </w:t>
            </w:r>
            <w:r w:rsidR="008012BE" w:rsidRPr="33AD9453">
              <w:rPr>
                <w:rFonts w:asciiTheme="minorHAnsi" w:hAnsiTheme="minorHAnsi" w:cstheme="minorBidi"/>
              </w:rPr>
              <w:t>‘</w:t>
            </w:r>
            <w:r w:rsidRPr="33AD9453">
              <w:rPr>
                <w:rFonts w:asciiTheme="minorHAnsi" w:hAnsiTheme="minorHAnsi" w:cstheme="minorBidi"/>
              </w:rPr>
              <w:t xml:space="preserve">public interest task’ is the appropriate legal basis. </w:t>
            </w:r>
          </w:p>
        </w:tc>
      </w:tr>
      <w:tr w:rsidR="00197F68" w:rsidRPr="00755359" w14:paraId="3E15547C"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40D0B" w14:textId="77777777" w:rsidR="00197F68" w:rsidRPr="00755359" w:rsidRDefault="00B07E67">
            <w:pPr>
              <w:spacing w:after="0" w:line="259" w:lineRule="auto"/>
              <w:ind w:left="312" w:right="0" w:firstLine="0"/>
              <w:jc w:val="left"/>
              <w:rPr>
                <w:rFonts w:asciiTheme="minorHAnsi" w:hAnsiTheme="minorHAnsi" w:cstheme="minorHAnsi"/>
              </w:rPr>
            </w:pPr>
            <w:r w:rsidRPr="00755359">
              <w:rPr>
                <w:rFonts w:asciiTheme="minorHAnsi" w:hAnsiTheme="minorHAnsi" w:cstheme="minorHAnsi"/>
              </w:rPr>
              <w:t xml:space="preserve">d. any international transfers of their personal data/special category data? </w:t>
            </w:r>
          </w:p>
        </w:tc>
      </w:tr>
      <w:tr w:rsidR="00197F68" w:rsidRPr="00755359" w14:paraId="7D1C3E91" w14:textId="77777777" w:rsidTr="06E08850">
        <w:trPr>
          <w:trHeight w:val="242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6EBB1" w14:textId="77777777" w:rsidR="00197F68" w:rsidRPr="00755359" w:rsidRDefault="00B07E67">
            <w:pPr>
              <w:spacing w:after="0" w:line="259" w:lineRule="auto"/>
              <w:ind w:left="312" w:right="0" w:firstLine="0"/>
              <w:jc w:val="left"/>
              <w:rPr>
                <w:rFonts w:asciiTheme="minorHAnsi" w:hAnsiTheme="minorHAnsi" w:cstheme="minorHAnsi"/>
              </w:rPr>
            </w:pPr>
            <w:r w:rsidRPr="00755359">
              <w:rPr>
                <w:rFonts w:asciiTheme="minorHAnsi" w:hAnsiTheme="minorHAnsi" w:cstheme="minorHAnsi"/>
              </w:rPr>
              <w:t xml:space="preserve">e. when their personal data/special category data will be erased?  </w:t>
            </w:r>
          </w:p>
          <w:p w14:paraId="6E58D819" w14:textId="3E3EF377" w:rsidR="006A49FE" w:rsidRDefault="00B07E67">
            <w:pPr>
              <w:spacing w:after="0" w:line="259" w:lineRule="auto"/>
              <w:ind w:left="312" w:right="0" w:firstLine="0"/>
              <w:jc w:val="left"/>
              <w:rPr>
                <w:rFonts w:asciiTheme="minorHAnsi" w:hAnsiTheme="minorHAnsi" w:cstheme="minorHAnsi"/>
              </w:rPr>
            </w:pPr>
            <w:r w:rsidRPr="00755359">
              <w:rPr>
                <w:rFonts w:asciiTheme="minorHAnsi" w:hAnsiTheme="minorHAnsi" w:cstheme="minorHAnsi"/>
              </w:rPr>
              <w:t xml:space="preserve"> NB. The GDPR requires that data is not kept as identifiable personal data for longer than is necessary in relation to the purposes for which it is processed.  However, personal data processed solely for research purposes may be stored for longer periods, provided there are appropriate safeguards, such as pseudonymisation. </w:t>
            </w:r>
          </w:p>
          <w:p w14:paraId="4B5CCFC2" w14:textId="77777777" w:rsidR="006A49FE" w:rsidRDefault="006A49FE">
            <w:pPr>
              <w:spacing w:after="0" w:line="259" w:lineRule="auto"/>
              <w:ind w:left="312" w:right="0" w:firstLine="0"/>
              <w:jc w:val="left"/>
              <w:rPr>
                <w:rFonts w:asciiTheme="minorHAnsi" w:hAnsiTheme="minorHAnsi" w:cstheme="minorHAnsi"/>
              </w:rPr>
            </w:pPr>
          </w:p>
          <w:p w14:paraId="28101D35" w14:textId="459FE547" w:rsidR="00657441" w:rsidRDefault="00B07E67">
            <w:pPr>
              <w:spacing w:after="0" w:line="259" w:lineRule="auto"/>
              <w:ind w:left="312" w:right="0" w:firstLine="0"/>
              <w:jc w:val="left"/>
              <w:rPr>
                <w:rFonts w:asciiTheme="minorHAnsi" w:hAnsiTheme="minorHAnsi" w:cstheme="minorBidi"/>
              </w:rPr>
            </w:pPr>
            <w:r w:rsidRPr="06E08850">
              <w:rPr>
                <w:rFonts w:asciiTheme="minorHAnsi" w:hAnsiTheme="minorHAnsi" w:cstheme="minorBidi"/>
              </w:rPr>
              <w:t xml:space="preserve">This longer period is not defined in the GDPR. You will also need to comply with the </w:t>
            </w:r>
            <w:r w:rsidR="3D8AEB38" w:rsidRPr="33AD9453">
              <w:rPr>
                <w:rFonts w:asciiTheme="minorHAnsi" w:hAnsiTheme="minorHAnsi" w:cstheme="minorBidi"/>
              </w:rPr>
              <w:t>u</w:t>
            </w:r>
            <w:r w:rsidR="666E582E" w:rsidRPr="33AD9453">
              <w:rPr>
                <w:rFonts w:asciiTheme="minorHAnsi" w:hAnsiTheme="minorHAnsi" w:cstheme="minorBidi"/>
              </w:rPr>
              <w:t>niversity</w:t>
            </w:r>
            <w:r w:rsidRPr="33AD9453">
              <w:rPr>
                <w:rFonts w:asciiTheme="minorHAnsi" w:hAnsiTheme="minorHAnsi" w:cstheme="minorBidi"/>
              </w:rPr>
              <w:t>’s</w:t>
            </w:r>
            <w:r w:rsidRPr="06E08850">
              <w:rPr>
                <w:rFonts w:asciiTheme="minorHAnsi" w:hAnsiTheme="minorHAnsi" w:cstheme="minorBidi"/>
              </w:rPr>
              <w:t xml:space="preserve"> policy which stipulates that research data and records should be retained for a minimum of three years after the end of the research, or longer if required by research funders and regulators</w:t>
            </w:r>
            <w:r w:rsidR="006A49FE" w:rsidRPr="06E08850">
              <w:rPr>
                <w:rFonts w:asciiTheme="minorHAnsi" w:hAnsiTheme="minorHAnsi" w:cstheme="minorBidi"/>
              </w:rPr>
              <w:t>.</w:t>
            </w:r>
            <w:r w:rsidRPr="06E08850">
              <w:rPr>
                <w:rFonts w:asciiTheme="minorHAnsi" w:hAnsiTheme="minorHAnsi" w:cstheme="minorBidi"/>
              </w:rPr>
              <w:t xml:space="preserve"> </w:t>
            </w:r>
          </w:p>
          <w:p w14:paraId="4C5401EB" w14:textId="24B753A1" w:rsidR="00D9324F" w:rsidRDefault="00B07E67">
            <w:pPr>
              <w:spacing w:after="0" w:line="259" w:lineRule="auto"/>
              <w:ind w:left="312" w:right="0" w:firstLine="0"/>
              <w:jc w:val="left"/>
              <w:rPr>
                <w:rFonts w:asciiTheme="minorHAnsi" w:hAnsiTheme="minorHAnsi" w:cstheme="minorHAnsi"/>
              </w:rPr>
            </w:pPr>
            <w:r>
              <w:rPr>
                <w:rFonts w:asciiTheme="minorHAnsi" w:hAnsiTheme="minorHAnsi" w:cstheme="minorHAnsi"/>
              </w:rPr>
              <w:t xml:space="preserve">See </w:t>
            </w:r>
            <w:r w:rsidR="00D9324F">
              <w:rPr>
                <w:rFonts w:asciiTheme="minorHAnsi" w:hAnsiTheme="minorHAnsi" w:cstheme="minorHAnsi"/>
              </w:rPr>
              <w:t>–</w:t>
            </w:r>
            <w:r w:rsidRPr="00755359">
              <w:rPr>
                <w:rFonts w:asciiTheme="minorHAnsi" w:hAnsiTheme="minorHAnsi" w:cstheme="minorHAnsi"/>
              </w:rPr>
              <w:t xml:space="preserve"> </w:t>
            </w:r>
            <w:r w:rsidR="00657441">
              <w:rPr>
                <w:rFonts w:asciiTheme="minorHAnsi" w:hAnsiTheme="minorHAnsi" w:cstheme="minorHAnsi"/>
              </w:rPr>
              <w:t xml:space="preserve"> </w:t>
            </w:r>
            <w:hyperlink r:id="rId38" w:history="1">
              <w:r w:rsidR="00657441" w:rsidRPr="007624F7">
                <w:rPr>
                  <w:rStyle w:val="Hyperlink"/>
                  <w:rFonts w:asciiTheme="minorHAnsi" w:hAnsiTheme="minorHAnsi" w:cstheme="minorHAnsi"/>
                </w:rPr>
                <w:t>https://libguides.leedsbeckett.ac.uk/research_support/topics/research_data</w:t>
              </w:r>
            </w:hyperlink>
            <w:r w:rsidR="00185D69">
              <w:rPr>
                <w:rFonts w:asciiTheme="minorHAnsi" w:hAnsiTheme="minorHAnsi" w:cstheme="minorHAnsi"/>
              </w:rPr>
              <w:t xml:space="preserve"> </w:t>
            </w:r>
          </w:p>
          <w:p w14:paraId="4260229A" w14:textId="33599AC9" w:rsidR="00B07E67" w:rsidRPr="00755359" w:rsidRDefault="00B07E67" w:rsidP="00657441">
            <w:pPr>
              <w:spacing w:after="0" w:line="259" w:lineRule="auto"/>
              <w:ind w:left="312" w:right="0" w:firstLine="0"/>
              <w:jc w:val="left"/>
              <w:rPr>
                <w:rFonts w:asciiTheme="minorHAnsi" w:hAnsiTheme="minorHAnsi" w:cstheme="minorHAnsi"/>
              </w:rPr>
            </w:pPr>
          </w:p>
        </w:tc>
      </w:tr>
      <w:tr w:rsidR="00197F68" w:rsidRPr="00755359" w14:paraId="722A6E36"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92B99" w14:textId="77777777" w:rsidR="00197F68" w:rsidRPr="00755359" w:rsidRDefault="00B07E67">
            <w:pPr>
              <w:spacing w:after="0" w:line="259" w:lineRule="auto"/>
              <w:ind w:left="312" w:right="0" w:firstLine="0"/>
              <w:jc w:val="left"/>
              <w:rPr>
                <w:rFonts w:asciiTheme="minorHAnsi" w:hAnsiTheme="minorHAnsi" w:cstheme="minorHAnsi"/>
              </w:rPr>
            </w:pPr>
            <w:r w:rsidRPr="00755359">
              <w:rPr>
                <w:rFonts w:asciiTheme="minorHAnsi" w:hAnsiTheme="minorHAnsi" w:cstheme="minorHAnsi"/>
              </w:rPr>
              <w:t xml:space="preserve">f. their rights under the GDPR? </w:t>
            </w:r>
          </w:p>
        </w:tc>
      </w:tr>
      <w:tr w:rsidR="00197F68" w:rsidRPr="00755359" w14:paraId="19EBB874"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30174" w14:textId="37E856F8"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b/>
                <w:u w:val="single" w:color="000000"/>
              </w:rPr>
              <w:t>Data minimi</w:t>
            </w:r>
            <w:r w:rsidR="00356026">
              <w:rPr>
                <w:rFonts w:asciiTheme="minorHAnsi" w:hAnsiTheme="minorHAnsi" w:cstheme="minorHAnsi"/>
                <w:b/>
                <w:u w:val="single" w:color="000000"/>
              </w:rPr>
              <w:t>s</w:t>
            </w:r>
            <w:r w:rsidRPr="00755359">
              <w:rPr>
                <w:rFonts w:asciiTheme="minorHAnsi" w:hAnsiTheme="minorHAnsi" w:cstheme="minorHAnsi"/>
                <w:b/>
                <w:u w:val="single" w:color="000000"/>
              </w:rPr>
              <w:t>ation</w:t>
            </w:r>
            <w:r w:rsidRPr="00755359">
              <w:rPr>
                <w:rFonts w:asciiTheme="minorHAnsi" w:hAnsiTheme="minorHAnsi" w:cstheme="minorHAnsi"/>
                <w:b/>
              </w:rPr>
              <w:t xml:space="preserve"> </w:t>
            </w:r>
          </w:p>
        </w:tc>
      </w:tr>
      <w:tr w:rsidR="00197F68" w:rsidRPr="00755359" w14:paraId="158BB308" w14:textId="77777777" w:rsidTr="06E08850">
        <w:trPr>
          <w:trHeight w:val="653"/>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FF08B"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2. Are the items of personal data/special category data to be collected the minimum necessary to achieve the research objectives? </w:t>
            </w:r>
          </w:p>
        </w:tc>
      </w:tr>
      <w:tr w:rsidR="00197F68" w:rsidRPr="00755359" w14:paraId="18FA9E9A" w14:textId="77777777" w:rsidTr="06E08850">
        <w:trPr>
          <w:trHeight w:val="411"/>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FE5AB"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3. Has the potential for using anonymised or pseudonymised data been considered? </w:t>
            </w:r>
          </w:p>
        </w:tc>
      </w:tr>
      <w:tr w:rsidR="00197F68" w:rsidRPr="00755359" w14:paraId="4B042610"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32660"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4. Will access to the personal data/special category data of participants be restricted to authorised persons? </w:t>
            </w:r>
          </w:p>
        </w:tc>
      </w:tr>
      <w:tr w:rsidR="00197F68" w:rsidRPr="00755359" w14:paraId="03D80BA7"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510F2"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5. Will participant data be kept in the form of fully identifiable data for a fixed period of time? </w:t>
            </w:r>
          </w:p>
        </w:tc>
      </w:tr>
      <w:tr w:rsidR="00197F68" w:rsidRPr="00755359" w14:paraId="1DB47D0F" w14:textId="77777777" w:rsidTr="06E08850">
        <w:trPr>
          <w:trHeight w:val="73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3C356"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6. Is there a clear rationale for the length of time data will be kept as fully identifiable data? (see 1e. </w:t>
            </w:r>
          </w:p>
          <w:p w14:paraId="4CA98086"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above) </w:t>
            </w:r>
          </w:p>
        </w:tc>
      </w:tr>
      <w:tr w:rsidR="00197F68" w:rsidRPr="00755359" w14:paraId="7DAEC316"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E5CE6"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b/>
                <w:u w:val="single" w:color="000000"/>
              </w:rPr>
              <w:t>Security</w:t>
            </w:r>
            <w:r w:rsidRPr="00755359">
              <w:rPr>
                <w:rFonts w:asciiTheme="minorHAnsi" w:hAnsiTheme="minorHAnsi" w:cstheme="minorHAnsi"/>
                <w:b/>
              </w:rPr>
              <w:t xml:space="preserve"> </w:t>
            </w:r>
          </w:p>
        </w:tc>
      </w:tr>
      <w:tr w:rsidR="00197F68" w:rsidRPr="00755359" w14:paraId="0A1D4205"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1389"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7. Will personal data/special category data be collected, </w:t>
            </w:r>
            <w:proofErr w:type="gramStart"/>
            <w:r w:rsidRPr="00755359">
              <w:rPr>
                <w:rFonts w:asciiTheme="minorHAnsi" w:hAnsiTheme="minorHAnsi" w:cstheme="minorHAnsi"/>
              </w:rPr>
              <w:t>transmitted</w:t>
            </w:r>
            <w:proofErr w:type="gramEnd"/>
            <w:r w:rsidRPr="00755359">
              <w:rPr>
                <w:rFonts w:asciiTheme="minorHAnsi" w:hAnsiTheme="minorHAnsi" w:cstheme="minorHAnsi"/>
              </w:rPr>
              <w:t xml:space="preserve"> and stored securely? </w:t>
            </w:r>
          </w:p>
        </w:tc>
      </w:tr>
      <w:tr w:rsidR="00197F68" w:rsidRPr="00755359" w14:paraId="359D54FB" w14:textId="77777777" w:rsidTr="06E08850">
        <w:trPr>
          <w:trHeight w:val="490"/>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A65BA"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8. Is the level of security to be provided appropriate to the risks represented by the processing? </w:t>
            </w:r>
          </w:p>
        </w:tc>
      </w:tr>
      <w:tr w:rsidR="00197F68" w:rsidRPr="00755359" w14:paraId="4EABBDBC" w14:textId="77777777" w:rsidTr="06E08850">
        <w:trPr>
          <w:trHeight w:val="1056"/>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1F4CD" w14:textId="77777777" w:rsidR="00197F68" w:rsidRPr="00755359" w:rsidRDefault="00B07E67">
            <w:pPr>
              <w:spacing w:after="161" w:line="238" w:lineRule="auto"/>
              <w:ind w:left="0" w:right="0" w:firstLine="0"/>
              <w:jc w:val="left"/>
              <w:rPr>
                <w:rFonts w:asciiTheme="minorHAnsi" w:hAnsiTheme="minorHAnsi" w:cstheme="minorHAnsi"/>
              </w:rPr>
            </w:pPr>
            <w:r w:rsidRPr="00755359">
              <w:rPr>
                <w:rFonts w:asciiTheme="minorHAnsi" w:hAnsiTheme="minorHAnsi" w:cstheme="minorHAnsi"/>
              </w:rPr>
              <w:lastRenderedPageBreak/>
              <w:t xml:space="preserve">9. Will arrangements be put in place for the secure disposal and or destruction of personal data/special category data when it is no longer required? </w:t>
            </w:r>
          </w:p>
          <w:p w14:paraId="64A95195"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 </w:t>
            </w:r>
          </w:p>
        </w:tc>
      </w:tr>
      <w:tr w:rsidR="00197F68" w:rsidRPr="00755359" w14:paraId="22A23EDD" w14:textId="77777777" w:rsidTr="06E08850">
        <w:trPr>
          <w:trHeight w:val="492"/>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AB1C3"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b/>
                <w:u w:val="single" w:color="000000"/>
              </w:rPr>
              <w:t>Other safeguards</w:t>
            </w:r>
            <w:r w:rsidRPr="00755359">
              <w:rPr>
                <w:rFonts w:asciiTheme="minorHAnsi" w:hAnsiTheme="minorHAnsi" w:cstheme="minorHAnsi"/>
                <w:b/>
              </w:rPr>
              <w:t xml:space="preserve"> </w:t>
            </w:r>
          </w:p>
        </w:tc>
      </w:tr>
      <w:tr w:rsidR="00197F68" w:rsidRPr="00755359" w14:paraId="044DF662" w14:textId="77777777" w:rsidTr="06E08850">
        <w:trPr>
          <w:trHeight w:val="974"/>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26087"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10. If the data is to be shared with another organisation, will there be a written agreement with the other organisation, setting out each one’s respective roles and responsibilities, and how individuals may exercise their rights in respect of their data? </w:t>
            </w:r>
          </w:p>
        </w:tc>
      </w:tr>
      <w:tr w:rsidR="00197F68" w:rsidRPr="00755359" w14:paraId="033FD813" w14:textId="77777777" w:rsidTr="06E08850">
        <w:trPr>
          <w:trHeight w:val="1454"/>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1D130" w14:textId="77777777" w:rsidR="00197F68" w:rsidRPr="00755359" w:rsidRDefault="00B07E67">
            <w:pPr>
              <w:spacing w:after="275" w:line="230" w:lineRule="auto"/>
              <w:ind w:left="0" w:right="0" w:firstLine="0"/>
              <w:jc w:val="left"/>
              <w:rPr>
                <w:rFonts w:asciiTheme="minorHAnsi" w:hAnsiTheme="minorHAnsi" w:cstheme="minorHAnsi"/>
              </w:rPr>
            </w:pPr>
            <w:r w:rsidRPr="00755359">
              <w:rPr>
                <w:rFonts w:asciiTheme="minorHAnsi" w:hAnsiTheme="minorHAnsi" w:cstheme="minorHAnsi"/>
              </w:rPr>
              <w:t>11. Will the personal data/special category data of participants be used for measures or decisions with respect to individual participants?</w:t>
            </w:r>
            <w:r w:rsidRPr="00755359">
              <w:rPr>
                <w:rFonts w:asciiTheme="minorHAnsi" w:hAnsiTheme="minorHAnsi" w:cstheme="minorHAnsi"/>
                <w:vertAlign w:val="superscript"/>
              </w:rPr>
              <w:footnoteReference w:id="4"/>
            </w:r>
            <w:r w:rsidRPr="00755359">
              <w:rPr>
                <w:rFonts w:asciiTheme="minorHAnsi" w:hAnsiTheme="minorHAnsi" w:cstheme="minorHAnsi"/>
              </w:rPr>
              <w:t xml:space="preserve"> </w:t>
            </w:r>
          </w:p>
          <w:p w14:paraId="00F2F223" w14:textId="21F6913E"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[If the answer to this question is ‘Yes’, the processing of the personal data will not comply with </w:t>
            </w:r>
            <w:r w:rsidR="00677666">
              <w:rPr>
                <w:rFonts w:asciiTheme="minorHAnsi" w:hAnsiTheme="minorHAnsi" w:cstheme="minorHAnsi"/>
              </w:rPr>
              <w:t>DPA</w:t>
            </w:r>
            <w:r w:rsidR="005B5257">
              <w:rPr>
                <w:rFonts w:asciiTheme="minorHAnsi" w:hAnsiTheme="minorHAnsi" w:cstheme="minorHAnsi"/>
              </w:rPr>
              <w:t xml:space="preserve">18 </w:t>
            </w:r>
            <w:r w:rsidRPr="00755359">
              <w:rPr>
                <w:rFonts w:asciiTheme="minorHAnsi" w:hAnsiTheme="minorHAnsi" w:cstheme="minorHAnsi"/>
              </w:rPr>
              <w:t>and G</w:t>
            </w:r>
            <w:r w:rsidR="00677666">
              <w:rPr>
                <w:rFonts w:asciiTheme="minorHAnsi" w:hAnsiTheme="minorHAnsi" w:cstheme="minorHAnsi"/>
              </w:rPr>
              <w:t>DPR</w:t>
            </w:r>
            <w:r w:rsidRPr="00755359">
              <w:rPr>
                <w:rFonts w:asciiTheme="minorHAnsi" w:hAnsiTheme="minorHAnsi" w:cstheme="minorHAnsi"/>
              </w:rPr>
              <w:t xml:space="preserve">.] </w:t>
            </w:r>
          </w:p>
        </w:tc>
      </w:tr>
      <w:tr w:rsidR="00197F68" w:rsidRPr="00755359" w14:paraId="14F6E7DD" w14:textId="77777777" w:rsidTr="06E08850">
        <w:trPr>
          <w:trHeight w:val="735"/>
        </w:trPr>
        <w:tc>
          <w:tcPr>
            <w:tcW w:w="9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0FC96" w14:textId="77777777" w:rsidR="00197F68" w:rsidRPr="00755359" w:rsidRDefault="00B07E67">
            <w:pPr>
              <w:spacing w:after="0" w:line="259" w:lineRule="auto"/>
              <w:ind w:left="0" w:right="0" w:firstLine="0"/>
              <w:jc w:val="left"/>
              <w:rPr>
                <w:rFonts w:asciiTheme="minorHAnsi" w:hAnsiTheme="minorHAnsi" w:cstheme="minorHAnsi"/>
              </w:rPr>
            </w:pPr>
            <w:r w:rsidRPr="00755359">
              <w:rPr>
                <w:rFonts w:asciiTheme="minorHAnsi" w:hAnsiTheme="minorHAnsi" w:cstheme="minorHAnsi"/>
              </w:rPr>
              <w:t xml:space="preserve">12. Is it likely that your use of personal data/special category data will cause substantial damage or substantial distress to any of the participants? </w:t>
            </w:r>
          </w:p>
        </w:tc>
      </w:tr>
    </w:tbl>
    <w:p w14:paraId="5EE7FA43" w14:textId="21928F02" w:rsidR="00197F68" w:rsidRPr="00755359" w:rsidRDefault="00197F68" w:rsidP="282D47B6">
      <w:pPr>
        <w:spacing w:after="0" w:line="259" w:lineRule="auto"/>
        <w:ind w:left="14" w:right="0" w:firstLine="0"/>
        <w:jc w:val="left"/>
        <w:rPr>
          <w:rFonts w:asciiTheme="minorHAnsi" w:hAnsiTheme="minorHAnsi" w:cstheme="minorBidi"/>
        </w:rPr>
      </w:pPr>
    </w:p>
    <w:p w14:paraId="0B3B26BB" w14:textId="45477A46" w:rsidR="282D47B6" w:rsidRDefault="282D47B6" w:rsidP="282D47B6">
      <w:pPr>
        <w:spacing w:after="0" w:line="259" w:lineRule="auto"/>
        <w:ind w:left="14" w:right="0" w:firstLine="0"/>
        <w:jc w:val="left"/>
        <w:rPr>
          <w:rFonts w:asciiTheme="minorHAnsi" w:hAnsiTheme="minorHAnsi" w:cstheme="minorBidi"/>
        </w:rPr>
      </w:pPr>
    </w:p>
    <w:p w14:paraId="6C14D5EE" w14:textId="6DFF3217" w:rsidR="282D47B6" w:rsidRDefault="282D47B6">
      <w:r>
        <w:br w:type="page"/>
      </w:r>
    </w:p>
    <w:p w14:paraId="4FFC3CB9" w14:textId="77777777" w:rsidR="007A61C4" w:rsidRPr="001B29A1" w:rsidRDefault="007A61C4" w:rsidP="001B29A1">
      <w:pPr>
        <w:spacing w:line="257" w:lineRule="auto"/>
        <w:jc w:val="left"/>
        <w:rPr>
          <w:rFonts w:ascii="Calibri" w:eastAsia="Calibri" w:hAnsi="Calibri" w:cs="Calibri"/>
          <w:b/>
          <w:bCs/>
          <w:color w:val="auto"/>
          <w:sz w:val="24"/>
          <w:szCs w:val="24"/>
        </w:rPr>
      </w:pPr>
      <w:r w:rsidRPr="001B29A1">
        <w:rPr>
          <w:rFonts w:ascii="Calibri" w:eastAsia="Calibri" w:hAnsi="Calibri" w:cs="Calibri"/>
          <w:b/>
          <w:bCs/>
          <w:color w:val="auto"/>
          <w:sz w:val="24"/>
          <w:szCs w:val="24"/>
        </w:rPr>
        <w:lastRenderedPageBreak/>
        <w:t xml:space="preserve">Appendix B </w:t>
      </w:r>
    </w:p>
    <w:p w14:paraId="0AB4F006" w14:textId="513CEEFD" w:rsidR="5228A1CD" w:rsidRDefault="5228A1CD" w:rsidP="00E34942">
      <w:pPr>
        <w:spacing w:line="257" w:lineRule="auto"/>
        <w:ind w:left="0" w:firstLine="0"/>
        <w:jc w:val="left"/>
        <w:rPr>
          <w:rFonts w:ascii="Calibri" w:eastAsia="Calibri" w:hAnsi="Calibri" w:cs="Calibri"/>
          <w:b/>
          <w:bCs/>
          <w:color w:val="7030A0"/>
          <w:sz w:val="24"/>
          <w:szCs w:val="24"/>
        </w:rPr>
      </w:pPr>
      <w:r w:rsidRPr="282D47B6">
        <w:rPr>
          <w:rFonts w:ascii="Calibri" w:eastAsia="Calibri" w:hAnsi="Calibri" w:cs="Calibri"/>
          <w:b/>
          <w:bCs/>
          <w:color w:val="7030A0"/>
          <w:sz w:val="24"/>
          <w:szCs w:val="24"/>
        </w:rPr>
        <w:t xml:space="preserve">Example </w:t>
      </w:r>
      <w:proofErr w:type="gramStart"/>
      <w:r w:rsidRPr="282D47B6">
        <w:rPr>
          <w:rFonts w:ascii="Calibri" w:eastAsia="Calibri" w:hAnsi="Calibri" w:cs="Calibri"/>
          <w:b/>
          <w:bCs/>
          <w:color w:val="7030A0"/>
          <w:sz w:val="24"/>
          <w:szCs w:val="24"/>
        </w:rPr>
        <w:t xml:space="preserve">Template </w:t>
      </w:r>
      <w:r w:rsidR="00E34942">
        <w:rPr>
          <w:rFonts w:ascii="Calibri" w:eastAsia="Calibri" w:hAnsi="Calibri" w:cs="Calibri"/>
          <w:b/>
          <w:bCs/>
          <w:color w:val="7030A0"/>
          <w:sz w:val="24"/>
          <w:szCs w:val="24"/>
        </w:rPr>
        <w:t xml:space="preserve"> -</w:t>
      </w:r>
      <w:proofErr w:type="gramEnd"/>
      <w:r w:rsidR="00E34942">
        <w:rPr>
          <w:rFonts w:ascii="Calibri" w:eastAsia="Calibri" w:hAnsi="Calibri" w:cs="Calibri"/>
          <w:b/>
          <w:bCs/>
          <w:color w:val="7030A0"/>
          <w:sz w:val="24"/>
          <w:szCs w:val="24"/>
        </w:rPr>
        <w:t xml:space="preserve"> </w:t>
      </w:r>
      <w:r w:rsidRPr="282D47B6">
        <w:rPr>
          <w:rFonts w:ascii="Calibri" w:eastAsia="Calibri" w:hAnsi="Calibri" w:cs="Calibri"/>
          <w:b/>
          <w:bCs/>
          <w:color w:val="7030A0"/>
          <w:sz w:val="24"/>
          <w:szCs w:val="24"/>
        </w:rPr>
        <w:t>Participant Information Sheet</w:t>
      </w:r>
    </w:p>
    <w:p w14:paraId="238A8FD1" w14:textId="7F507CB5" w:rsidR="5228A1CD" w:rsidRDefault="5228A1CD" w:rsidP="282D47B6">
      <w:pPr>
        <w:spacing w:line="257" w:lineRule="auto"/>
        <w:jc w:val="left"/>
        <w:rPr>
          <w:rFonts w:ascii="Calibri" w:eastAsia="Calibri" w:hAnsi="Calibri" w:cs="Calibri"/>
          <w:b/>
          <w:bCs/>
          <w:color w:val="7030A0"/>
          <w:sz w:val="24"/>
          <w:szCs w:val="24"/>
        </w:rPr>
      </w:pPr>
      <w:r w:rsidRPr="282D47B6">
        <w:rPr>
          <w:rFonts w:ascii="Calibri" w:eastAsia="Calibri" w:hAnsi="Calibri" w:cs="Calibri"/>
          <w:b/>
          <w:bCs/>
          <w:color w:val="7030A0"/>
          <w:sz w:val="24"/>
          <w:szCs w:val="24"/>
        </w:rPr>
        <w:t>How do we ensure Confidentiality and Data Protection compliance?</w:t>
      </w:r>
    </w:p>
    <w:p w14:paraId="4BBB9ACD" w14:textId="178AFA2E" w:rsidR="5228A1CD" w:rsidRDefault="5228A1CD" w:rsidP="282D47B6">
      <w:pPr>
        <w:spacing w:line="257" w:lineRule="auto"/>
      </w:pPr>
      <w:r w:rsidRPr="282D47B6">
        <w:rPr>
          <w:rFonts w:ascii="Calibri" w:eastAsia="Calibri" w:hAnsi="Calibri" w:cs="Calibri"/>
          <w:sz w:val="24"/>
          <w:szCs w:val="24"/>
        </w:rPr>
        <w:t xml:space="preserve">Leeds Beckett University is the data controller of the personal data it collects and processes for the purpose of carrying out the research outlined in this Participant Information Sheet. </w:t>
      </w:r>
    </w:p>
    <w:p w14:paraId="64E52107" w14:textId="5156D3C3" w:rsidR="5228A1CD" w:rsidRDefault="5228A1CD" w:rsidP="282D47B6">
      <w:pPr>
        <w:spacing w:line="257" w:lineRule="auto"/>
      </w:pPr>
      <w:r w:rsidRPr="282D47B6">
        <w:rPr>
          <w:rFonts w:ascii="Calibri" w:eastAsia="Calibri" w:hAnsi="Calibri" w:cs="Calibri"/>
          <w:sz w:val="24"/>
          <w:szCs w:val="24"/>
        </w:rPr>
        <w:t xml:space="preserve">This means that it has the core legal responsibility to safeguard this personal data and ensure it is processed lawfully and to comply with individuals’ data protection rights and freedoms. </w:t>
      </w:r>
    </w:p>
    <w:p w14:paraId="3A6FEC30" w14:textId="7E7E7EA4" w:rsidR="5228A1CD" w:rsidRDefault="5228A1CD" w:rsidP="282D47B6">
      <w:pPr>
        <w:spacing w:line="257" w:lineRule="auto"/>
      </w:pPr>
      <w:r w:rsidRPr="282D47B6">
        <w:rPr>
          <w:rFonts w:ascii="Calibri" w:eastAsia="Calibri" w:hAnsi="Calibri" w:cs="Calibri"/>
          <w:sz w:val="24"/>
          <w:szCs w:val="24"/>
        </w:rPr>
        <w:t xml:space="preserve">This requirement is set out in the EU General Data Protection Regulation 2016 (‘GDPR’) and in UK law under the Data Protection Act 2018 (‘DPA’) </w:t>
      </w:r>
      <w:r w:rsidRPr="282D47B6">
        <w:rPr>
          <w:rFonts w:ascii="Calibri" w:eastAsia="Calibri" w:hAnsi="Calibri" w:cs="Calibri"/>
          <w:sz w:val="24"/>
          <w:szCs w:val="24"/>
          <w:lang w:val="en"/>
        </w:rPr>
        <w:t xml:space="preserve">which states that: </w:t>
      </w:r>
    </w:p>
    <w:p w14:paraId="1548CAB5" w14:textId="52F38641" w:rsidR="5228A1CD" w:rsidRDefault="5228A1CD" w:rsidP="282D47B6">
      <w:r w:rsidRPr="282D47B6">
        <w:rPr>
          <w:rFonts w:ascii="Calibri" w:eastAsia="Calibri" w:hAnsi="Calibri" w:cs="Calibri"/>
          <w:color w:val="000000" w:themeColor="text1"/>
          <w:sz w:val="24"/>
          <w:szCs w:val="24"/>
          <w:lang w:val="en"/>
        </w:rPr>
        <w:t>Personal data must:</w:t>
      </w:r>
    </w:p>
    <w:p w14:paraId="27732BD7" w14:textId="2B603ED8" w:rsidR="5228A1CD" w:rsidRDefault="5228A1CD" w:rsidP="282D47B6">
      <w:pPr>
        <w:pStyle w:val="ListParagraph"/>
        <w:numPr>
          <w:ilvl w:val="0"/>
          <w:numId w:val="1"/>
        </w:numPr>
        <w:jc w:val="left"/>
        <w:rPr>
          <w:rFonts w:ascii="Calibri" w:eastAsia="Calibri" w:hAnsi="Calibri" w:cs="Calibri"/>
          <w:color w:val="000000" w:themeColor="text1"/>
          <w:sz w:val="24"/>
          <w:szCs w:val="24"/>
          <w:lang w:val="en"/>
        </w:rPr>
      </w:pPr>
      <w:r w:rsidRPr="282D47B6">
        <w:rPr>
          <w:rFonts w:ascii="Calibri" w:eastAsia="Calibri" w:hAnsi="Calibri" w:cs="Calibri"/>
          <w:color w:val="000000" w:themeColor="text1"/>
          <w:sz w:val="24"/>
          <w:szCs w:val="24"/>
          <w:lang w:val="en"/>
        </w:rPr>
        <w:t xml:space="preserve">be processed lawfully, fairly and in a transparent </w:t>
      </w:r>
      <w:proofErr w:type="gramStart"/>
      <w:r w:rsidRPr="282D47B6">
        <w:rPr>
          <w:rFonts w:ascii="Calibri" w:eastAsia="Calibri" w:hAnsi="Calibri" w:cs="Calibri"/>
          <w:color w:val="000000" w:themeColor="text1"/>
          <w:sz w:val="24"/>
          <w:szCs w:val="24"/>
          <w:lang w:val="en"/>
        </w:rPr>
        <w:t>manner;</w:t>
      </w:r>
      <w:proofErr w:type="gramEnd"/>
    </w:p>
    <w:p w14:paraId="032485A8" w14:textId="78D2D16D" w:rsidR="5228A1CD" w:rsidRDefault="5228A1CD" w:rsidP="282D47B6">
      <w:pPr>
        <w:pStyle w:val="ListParagraph"/>
        <w:numPr>
          <w:ilvl w:val="0"/>
          <w:numId w:val="1"/>
        </w:numPr>
        <w:jc w:val="left"/>
        <w:rPr>
          <w:rFonts w:ascii="Calibri" w:eastAsia="Calibri" w:hAnsi="Calibri" w:cs="Calibri"/>
          <w:color w:val="000000" w:themeColor="text1"/>
          <w:sz w:val="24"/>
          <w:szCs w:val="24"/>
          <w:lang w:val="en"/>
        </w:rPr>
      </w:pPr>
      <w:r w:rsidRPr="282D47B6">
        <w:rPr>
          <w:rFonts w:ascii="Calibri" w:eastAsia="Calibri" w:hAnsi="Calibri" w:cs="Calibri"/>
          <w:color w:val="000000" w:themeColor="text1"/>
          <w:sz w:val="24"/>
          <w:szCs w:val="24"/>
          <w:lang w:val="en"/>
        </w:rPr>
        <w:t xml:space="preserve">be collected only for specified, explicit and legitimate purposes, and not be further processed in any manner incompatible with </w:t>
      </w:r>
      <w:proofErr w:type="gramStart"/>
      <w:r w:rsidRPr="282D47B6">
        <w:rPr>
          <w:rFonts w:ascii="Calibri" w:eastAsia="Calibri" w:hAnsi="Calibri" w:cs="Calibri"/>
          <w:color w:val="000000" w:themeColor="text1"/>
          <w:sz w:val="24"/>
          <w:szCs w:val="24"/>
          <w:lang w:val="en"/>
        </w:rPr>
        <w:t>those;</w:t>
      </w:r>
      <w:proofErr w:type="gramEnd"/>
    </w:p>
    <w:p w14:paraId="10444B56" w14:textId="7A59541E" w:rsidR="5228A1CD" w:rsidRDefault="5228A1CD" w:rsidP="282D47B6">
      <w:pPr>
        <w:pStyle w:val="ListParagraph"/>
        <w:numPr>
          <w:ilvl w:val="0"/>
          <w:numId w:val="1"/>
        </w:numPr>
        <w:jc w:val="left"/>
        <w:rPr>
          <w:rFonts w:ascii="Calibri" w:eastAsia="Calibri" w:hAnsi="Calibri" w:cs="Calibri"/>
          <w:color w:val="000000" w:themeColor="text1"/>
          <w:sz w:val="24"/>
          <w:szCs w:val="24"/>
          <w:lang w:val="en"/>
        </w:rPr>
      </w:pPr>
      <w:r w:rsidRPr="282D47B6">
        <w:rPr>
          <w:rFonts w:ascii="Calibri" w:eastAsia="Calibri" w:hAnsi="Calibri" w:cs="Calibri"/>
          <w:color w:val="000000" w:themeColor="text1"/>
          <w:sz w:val="24"/>
          <w:szCs w:val="24"/>
          <w:lang w:val="en"/>
        </w:rPr>
        <w:t xml:space="preserve">be adequate, relevant and limited to what is necessary in relation to the purposes for which it is </w:t>
      </w:r>
      <w:proofErr w:type="gramStart"/>
      <w:r w:rsidRPr="282D47B6">
        <w:rPr>
          <w:rFonts w:ascii="Calibri" w:eastAsia="Calibri" w:hAnsi="Calibri" w:cs="Calibri"/>
          <w:color w:val="000000" w:themeColor="text1"/>
          <w:sz w:val="24"/>
          <w:szCs w:val="24"/>
          <w:lang w:val="en"/>
        </w:rPr>
        <w:t>processed;</w:t>
      </w:r>
      <w:proofErr w:type="gramEnd"/>
    </w:p>
    <w:p w14:paraId="19DC4369" w14:textId="2F16206A" w:rsidR="5228A1CD" w:rsidRDefault="5228A1CD" w:rsidP="282D47B6">
      <w:pPr>
        <w:pStyle w:val="ListParagraph"/>
        <w:numPr>
          <w:ilvl w:val="0"/>
          <w:numId w:val="1"/>
        </w:numPr>
        <w:jc w:val="left"/>
        <w:rPr>
          <w:rFonts w:ascii="Calibri" w:eastAsia="Calibri" w:hAnsi="Calibri" w:cs="Calibri"/>
          <w:color w:val="000000" w:themeColor="text1"/>
          <w:sz w:val="24"/>
          <w:szCs w:val="24"/>
          <w:lang w:val="en"/>
        </w:rPr>
      </w:pPr>
      <w:r w:rsidRPr="282D47B6">
        <w:rPr>
          <w:rFonts w:ascii="Calibri" w:eastAsia="Calibri" w:hAnsi="Calibri" w:cs="Calibri"/>
          <w:color w:val="000000" w:themeColor="text1"/>
          <w:sz w:val="24"/>
          <w:szCs w:val="24"/>
          <w:lang w:val="en"/>
        </w:rPr>
        <w:t xml:space="preserve">be accurate and, where necessary, kept </w:t>
      </w:r>
      <w:proofErr w:type="gramStart"/>
      <w:r w:rsidRPr="282D47B6">
        <w:rPr>
          <w:rFonts w:ascii="Calibri" w:eastAsia="Calibri" w:hAnsi="Calibri" w:cs="Calibri"/>
          <w:color w:val="000000" w:themeColor="text1"/>
          <w:sz w:val="24"/>
          <w:szCs w:val="24"/>
          <w:lang w:val="en"/>
        </w:rPr>
        <w:t>up-to-date;</w:t>
      </w:r>
      <w:proofErr w:type="gramEnd"/>
    </w:p>
    <w:p w14:paraId="49C7BAEE" w14:textId="4E645879" w:rsidR="5228A1CD" w:rsidRDefault="5228A1CD" w:rsidP="282D47B6">
      <w:pPr>
        <w:pStyle w:val="ListParagraph"/>
        <w:numPr>
          <w:ilvl w:val="0"/>
          <w:numId w:val="1"/>
        </w:numPr>
        <w:jc w:val="left"/>
        <w:rPr>
          <w:rFonts w:ascii="Calibri" w:eastAsia="Calibri" w:hAnsi="Calibri" w:cs="Calibri"/>
          <w:color w:val="000000" w:themeColor="text1"/>
          <w:sz w:val="24"/>
          <w:szCs w:val="24"/>
          <w:lang w:val="en"/>
        </w:rPr>
      </w:pPr>
      <w:r w:rsidRPr="282D47B6">
        <w:rPr>
          <w:rFonts w:ascii="Calibri" w:eastAsia="Calibri" w:hAnsi="Calibri" w:cs="Calibri"/>
          <w:color w:val="000000" w:themeColor="text1"/>
          <w:sz w:val="24"/>
          <w:szCs w:val="24"/>
          <w:lang w:val="en"/>
        </w:rPr>
        <w:t>not be kept as identifiable data for longer than necessary for the purposes concerned; and</w:t>
      </w:r>
    </w:p>
    <w:p w14:paraId="1D6824DC" w14:textId="09C6A213" w:rsidR="5228A1CD" w:rsidRDefault="5228A1CD" w:rsidP="282D47B6">
      <w:pPr>
        <w:pStyle w:val="ListParagraph"/>
        <w:numPr>
          <w:ilvl w:val="0"/>
          <w:numId w:val="1"/>
        </w:numPr>
        <w:jc w:val="left"/>
        <w:rPr>
          <w:rFonts w:ascii="Calibri" w:eastAsia="Calibri" w:hAnsi="Calibri" w:cs="Calibri"/>
          <w:color w:val="000000" w:themeColor="text1"/>
          <w:sz w:val="24"/>
          <w:szCs w:val="24"/>
          <w:lang w:val="en"/>
        </w:rPr>
      </w:pPr>
      <w:r w:rsidRPr="282D47B6">
        <w:rPr>
          <w:rFonts w:ascii="Calibri" w:eastAsia="Calibri" w:hAnsi="Calibri" w:cs="Calibri"/>
          <w:color w:val="000000" w:themeColor="text1"/>
          <w:sz w:val="24"/>
          <w:szCs w:val="24"/>
          <w:lang w:val="en"/>
        </w:rPr>
        <w:t>be processed securely.</w:t>
      </w:r>
    </w:p>
    <w:p w14:paraId="70716F9E" w14:textId="36118111" w:rsidR="5228A1CD" w:rsidRDefault="5228A1CD" w:rsidP="282D47B6">
      <w:pPr>
        <w:spacing w:line="257" w:lineRule="auto"/>
      </w:pPr>
      <w:r w:rsidRPr="282D47B6">
        <w:rPr>
          <w:rFonts w:ascii="Calibri" w:eastAsia="Calibri" w:hAnsi="Calibri" w:cs="Calibri"/>
          <w:sz w:val="24"/>
          <w:szCs w:val="24"/>
        </w:rPr>
        <w:t xml:space="preserve">This means that that your confidential and sensitive confidential (special category) personal </w:t>
      </w:r>
      <w:proofErr w:type="gramStart"/>
      <w:r w:rsidRPr="282D47B6">
        <w:rPr>
          <w:rFonts w:ascii="Calibri" w:eastAsia="Calibri" w:hAnsi="Calibri" w:cs="Calibri"/>
          <w:sz w:val="24"/>
          <w:szCs w:val="24"/>
        </w:rPr>
        <w:t>data</w:t>
      </w:r>
      <w:proofErr w:type="gramEnd"/>
      <w:r w:rsidRPr="282D47B6">
        <w:rPr>
          <w:rFonts w:ascii="Calibri" w:eastAsia="Calibri" w:hAnsi="Calibri" w:cs="Calibri"/>
          <w:sz w:val="24"/>
          <w:szCs w:val="24"/>
        </w:rPr>
        <w:t xml:space="preserve"> which is collected and processed, will be held securely, used only for the purpose and retention period it has been collected for, kept strictly confidential and only shared with authorised persons who are directly involved in the research process. </w:t>
      </w:r>
    </w:p>
    <w:p w14:paraId="403F1E53" w14:textId="3555AF4E" w:rsidR="5228A1CD" w:rsidRDefault="5228A1CD" w:rsidP="282D47B6">
      <w:pPr>
        <w:spacing w:line="257" w:lineRule="auto"/>
      </w:pPr>
      <w:r w:rsidRPr="282D47B6">
        <w:rPr>
          <w:rFonts w:ascii="Calibri" w:eastAsia="Calibri" w:hAnsi="Calibri" w:cs="Calibri"/>
          <w:sz w:val="24"/>
          <w:szCs w:val="24"/>
        </w:rPr>
        <w:t xml:space="preserve">The legal basis for processing your personal data is for research purposes under GDPR and DPA is a ‘task in the public interest’ and for special category personal data is where our processing is necessary for research purposes or statistical purposes. These conditions apply as long as we are applying appropriate protections to keep your personal data secure and safeguard your interests; these are set out in the </w:t>
      </w:r>
      <w:hyperlink r:id="rId39">
        <w:r w:rsidRPr="282D47B6">
          <w:rPr>
            <w:rStyle w:val="Hyperlink"/>
            <w:rFonts w:ascii="Calibri" w:eastAsia="Calibri" w:hAnsi="Calibri" w:cs="Calibri"/>
            <w:sz w:val="22"/>
          </w:rPr>
          <w:t>Research Participant Privacy Notice</w:t>
        </w:r>
      </w:hyperlink>
      <w:r w:rsidRPr="282D47B6">
        <w:rPr>
          <w:rFonts w:ascii="Calibri" w:eastAsia="Calibri" w:hAnsi="Calibri" w:cs="Calibri"/>
          <w:sz w:val="22"/>
        </w:rPr>
        <w:t xml:space="preserve"> available on the University website.</w:t>
      </w:r>
    </w:p>
    <w:p w14:paraId="3552ADF7" w14:textId="14B0F6B7" w:rsidR="5228A1CD" w:rsidRDefault="5228A1CD" w:rsidP="282D47B6">
      <w:pPr>
        <w:spacing w:line="257" w:lineRule="auto"/>
      </w:pPr>
      <w:r w:rsidRPr="282D47B6">
        <w:rPr>
          <w:rFonts w:ascii="Calibri" w:eastAsia="Calibri" w:hAnsi="Calibri" w:cs="Calibri"/>
          <w:sz w:val="24"/>
          <w:szCs w:val="24"/>
        </w:rPr>
        <w:t xml:space="preserve">Researchers use Data Protection and Research guidance and checklist to ensure research data protection compliance. They will also </w:t>
      </w:r>
      <w:proofErr w:type="gramStart"/>
      <w:r w:rsidRPr="282D47B6">
        <w:rPr>
          <w:rFonts w:ascii="Calibri" w:eastAsia="Calibri" w:hAnsi="Calibri" w:cs="Calibri"/>
          <w:sz w:val="24"/>
          <w:szCs w:val="24"/>
        </w:rPr>
        <w:t>take into account</w:t>
      </w:r>
      <w:proofErr w:type="gramEnd"/>
      <w:r w:rsidRPr="282D47B6">
        <w:rPr>
          <w:rFonts w:ascii="Calibri" w:eastAsia="Calibri" w:hAnsi="Calibri" w:cs="Calibri"/>
          <w:sz w:val="24"/>
          <w:szCs w:val="24"/>
        </w:rPr>
        <w:t xml:space="preserve"> University policies which are available on the </w:t>
      </w:r>
      <w:hyperlink r:id="rId40">
        <w:r w:rsidRPr="282D47B6">
          <w:rPr>
            <w:rStyle w:val="Hyperlink"/>
            <w:rFonts w:ascii="Calibri" w:eastAsia="Calibri" w:hAnsi="Calibri" w:cs="Calibri"/>
            <w:sz w:val="22"/>
          </w:rPr>
          <w:t>University Policies</w:t>
        </w:r>
      </w:hyperlink>
      <w:r w:rsidRPr="282D47B6">
        <w:rPr>
          <w:rFonts w:ascii="Calibri" w:eastAsia="Calibri" w:hAnsi="Calibri" w:cs="Calibri"/>
          <w:sz w:val="22"/>
        </w:rPr>
        <w:t xml:space="preserve"> </w:t>
      </w:r>
      <w:r w:rsidRPr="282D47B6">
        <w:rPr>
          <w:rFonts w:ascii="Calibri" w:eastAsia="Calibri" w:hAnsi="Calibri" w:cs="Calibri"/>
          <w:sz w:val="24"/>
          <w:szCs w:val="24"/>
        </w:rPr>
        <w:t>page of the University website.</w:t>
      </w:r>
    </w:p>
    <w:p w14:paraId="4E7152B5" w14:textId="7783BB16" w:rsidR="5228A1CD" w:rsidRDefault="5228A1CD" w:rsidP="282D47B6">
      <w:pPr>
        <w:spacing w:line="257" w:lineRule="auto"/>
      </w:pPr>
      <w:r w:rsidRPr="282D47B6">
        <w:rPr>
          <w:rFonts w:ascii="Calibri" w:eastAsia="Calibri" w:hAnsi="Calibri" w:cs="Calibri"/>
          <w:sz w:val="24"/>
          <w:szCs w:val="24"/>
        </w:rPr>
        <w:t>Where there is a requirement for your explicit consent for specific use of your data a separate consent form will be included with this Participant Information Sheet.</w:t>
      </w:r>
    </w:p>
    <w:p w14:paraId="74FECEE0" w14:textId="29A951BA" w:rsidR="282D47B6" w:rsidRPr="00E34942" w:rsidRDefault="5228A1CD" w:rsidP="00E34942">
      <w:r w:rsidRPr="282D47B6">
        <w:rPr>
          <w:rFonts w:ascii="Calibri" w:eastAsia="Calibri" w:hAnsi="Calibri" w:cs="Calibri"/>
          <w:sz w:val="24"/>
          <w:szCs w:val="24"/>
        </w:rPr>
        <w:t>Please be aware that due to the University’s lawful basis for processing data for research, some of your data rights may be affected; such as you may not be able to withdraw your data after it has been combined with other participant’s data. If you are unsure about this, please discuss in advance with the research team who will be able to advise you.</w:t>
      </w:r>
    </w:p>
    <w:sectPr w:rsidR="282D47B6" w:rsidRPr="00E34942" w:rsidSect="00E34942">
      <w:headerReference w:type="even" r:id="rId41"/>
      <w:headerReference w:type="default" r:id="rId42"/>
      <w:footerReference w:type="even" r:id="rId43"/>
      <w:footerReference w:type="default" r:id="rId44"/>
      <w:headerReference w:type="first" r:id="rId45"/>
      <w:footerReference w:type="first" r:id="rId46"/>
      <w:pgSz w:w="11899" w:h="16841"/>
      <w:pgMar w:top="1134" w:right="1440" w:bottom="11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F6092" w14:textId="77777777" w:rsidR="003D2D88" w:rsidRDefault="003D2D88">
      <w:pPr>
        <w:spacing w:after="0" w:line="240" w:lineRule="auto"/>
      </w:pPr>
      <w:r>
        <w:separator/>
      </w:r>
    </w:p>
  </w:endnote>
  <w:endnote w:type="continuationSeparator" w:id="0">
    <w:p w14:paraId="076E9A82" w14:textId="77777777" w:rsidR="003D2D88" w:rsidRDefault="003D2D88">
      <w:pPr>
        <w:spacing w:after="0" w:line="240" w:lineRule="auto"/>
      </w:pPr>
      <w:r>
        <w:continuationSeparator/>
      </w:r>
    </w:p>
  </w:endnote>
  <w:endnote w:type="continuationNotice" w:id="1">
    <w:p w14:paraId="21913B6B" w14:textId="77777777" w:rsidR="003D2D88" w:rsidRDefault="003D2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136D" w14:textId="77777777" w:rsidR="0082297F" w:rsidRDefault="0082297F">
    <w:pPr>
      <w:tabs>
        <w:tab w:val="center" w:pos="4165"/>
      </w:tabs>
      <w:spacing w:after="0" w:line="259" w:lineRule="auto"/>
      <w:ind w:left="0" w:right="0" w:firstLine="0"/>
      <w:jc w:val="left"/>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074A" w14:textId="77777777" w:rsidR="0082297F" w:rsidRDefault="0082297F">
    <w:pPr>
      <w:tabs>
        <w:tab w:val="center" w:pos="4165"/>
      </w:tabs>
      <w:spacing w:after="0" w:line="259" w:lineRule="auto"/>
      <w:ind w:left="0" w:right="0" w:firstLine="0"/>
      <w:jc w:val="left"/>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19539" w14:textId="4DE779D6" w:rsidR="0082297F" w:rsidRDefault="0082297F" w:rsidP="00AC3044">
    <w:pPr>
      <w:pStyle w:val="Footer"/>
      <w:jc w:val="center"/>
    </w:pPr>
    <w:r>
      <w:fldChar w:fldCharType="begin"/>
    </w:r>
    <w:r>
      <w:instrText xml:space="preserve"> PAGE   \* MERGEFORMAT </w:instrText>
    </w:r>
    <w:r>
      <w:fldChar w:fldCharType="separate"/>
    </w:r>
    <w:r>
      <w:rPr>
        <w:noProof/>
      </w:rPr>
      <w:t>2</w:t>
    </w:r>
    <w:r>
      <w:rPr>
        <w:noProof/>
      </w:rPr>
      <w:fldChar w:fldCharType="end"/>
    </w:r>
  </w:p>
  <w:p w14:paraId="65AE7A6A" w14:textId="02D0B106" w:rsidR="0082297F" w:rsidRPr="00AC3044" w:rsidRDefault="0082297F" w:rsidP="00202466">
    <w:pPr>
      <w:spacing w:after="160" w:line="259" w:lineRule="auto"/>
      <w:ind w:left="0" w:right="0" w:firstLine="0"/>
      <w:jc w:val="right"/>
      <w:rPr>
        <w:rFonts w:asciiTheme="minorHAnsi" w:hAnsiTheme="minorHAnsi" w:cstheme="minorHAnsi"/>
        <w:sz w:val="18"/>
        <w:szCs w:val="20"/>
      </w:rPr>
    </w:pPr>
    <w:r w:rsidRPr="00AC3044">
      <w:rPr>
        <w:rFonts w:asciiTheme="minorHAnsi" w:hAnsiTheme="minorHAnsi" w:cstheme="minorHAnsi"/>
        <w:sz w:val="18"/>
        <w:szCs w:val="20"/>
      </w:rPr>
      <w:t xml:space="preserve">Version </w:t>
    </w:r>
    <w:r w:rsidR="00AC3044" w:rsidRPr="00AC3044">
      <w:rPr>
        <w:rFonts w:asciiTheme="minorHAnsi" w:hAnsiTheme="minorHAnsi" w:cstheme="minorHAnsi"/>
        <w:sz w:val="18"/>
        <w:szCs w:val="20"/>
      </w:rPr>
      <w:t>1.0 –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7F8C6" w14:textId="77777777" w:rsidR="003D2D88" w:rsidRDefault="003D2D88">
      <w:pPr>
        <w:spacing w:after="0" w:line="266" w:lineRule="auto"/>
        <w:ind w:left="14" w:right="0" w:firstLine="0"/>
      </w:pPr>
      <w:r>
        <w:separator/>
      </w:r>
    </w:p>
  </w:footnote>
  <w:footnote w:type="continuationSeparator" w:id="0">
    <w:p w14:paraId="53743921" w14:textId="77777777" w:rsidR="003D2D88" w:rsidRDefault="003D2D88">
      <w:pPr>
        <w:spacing w:after="0" w:line="266" w:lineRule="auto"/>
        <w:ind w:left="14" w:right="0" w:firstLine="0"/>
      </w:pPr>
      <w:r>
        <w:continuationSeparator/>
      </w:r>
    </w:p>
  </w:footnote>
  <w:footnote w:type="continuationNotice" w:id="1">
    <w:p w14:paraId="7109ABF3" w14:textId="77777777" w:rsidR="003D2D88" w:rsidRDefault="003D2D88">
      <w:pPr>
        <w:spacing w:after="0" w:line="240" w:lineRule="auto"/>
      </w:pPr>
    </w:p>
  </w:footnote>
  <w:footnote w:id="2">
    <w:p w14:paraId="37B72E74" w14:textId="77777777" w:rsidR="0082297F" w:rsidRPr="00550422" w:rsidRDefault="0082297F">
      <w:pPr>
        <w:pStyle w:val="footnotedescription"/>
        <w:rPr>
          <w:rFonts w:asciiTheme="minorHAnsi" w:hAnsiTheme="minorHAnsi" w:cstheme="minorHAnsi"/>
        </w:rPr>
      </w:pPr>
      <w:r w:rsidRPr="00550422">
        <w:rPr>
          <w:rStyle w:val="footnotemark"/>
          <w:rFonts w:asciiTheme="minorHAnsi" w:hAnsiTheme="minorHAnsi" w:cstheme="minorHAnsi"/>
        </w:rPr>
        <w:footnoteRef/>
      </w:r>
      <w:r w:rsidRPr="00550422">
        <w:rPr>
          <w:rFonts w:asciiTheme="minorHAnsi" w:hAnsiTheme="minorHAnsi" w:cstheme="minorHAnsi"/>
        </w:rPr>
        <w:t xml:space="preserve"> Special category personal data was previously known as “sensitive” personal data, which under the Data Protection Act 1998 included criminal convictions and allegations</w:t>
      </w:r>
      <w:r w:rsidRPr="00550422">
        <w:rPr>
          <w:rFonts w:asciiTheme="minorHAnsi" w:hAnsiTheme="minorHAnsi" w:cstheme="minorHAnsi"/>
          <w:sz w:val="24"/>
        </w:rPr>
        <w:t xml:space="preserve"> </w:t>
      </w:r>
    </w:p>
  </w:footnote>
  <w:footnote w:id="3">
    <w:p w14:paraId="097DEF5C" w14:textId="77777777" w:rsidR="0082297F" w:rsidRDefault="0082297F">
      <w:pPr>
        <w:pStyle w:val="footnotedescription"/>
      </w:pPr>
      <w:r w:rsidRPr="00550422">
        <w:rPr>
          <w:rStyle w:val="footnotemark"/>
          <w:rFonts w:asciiTheme="minorHAnsi" w:hAnsiTheme="minorHAnsi" w:cstheme="minorHAnsi"/>
        </w:rPr>
        <w:footnoteRef/>
      </w:r>
      <w:r w:rsidRPr="00550422">
        <w:rPr>
          <w:rFonts w:asciiTheme="minorHAnsi" w:hAnsiTheme="minorHAnsi" w:cstheme="minorHAnsi"/>
        </w:rPr>
        <w:t xml:space="preserve"> Please note that the EEA includes the 27 member states of the European Union and the European Free Trade Association states (Norway, </w:t>
      </w:r>
      <w:proofErr w:type="gramStart"/>
      <w:r w:rsidRPr="00550422">
        <w:rPr>
          <w:rFonts w:asciiTheme="minorHAnsi" w:hAnsiTheme="minorHAnsi" w:cstheme="minorHAnsi"/>
        </w:rPr>
        <w:t>Lichtenstein</w:t>
      </w:r>
      <w:proofErr w:type="gramEnd"/>
      <w:r w:rsidRPr="00550422">
        <w:rPr>
          <w:rFonts w:asciiTheme="minorHAnsi" w:hAnsiTheme="minorHAnsi" w:cstheme="minorHAnsi"/>
        </w:rPr>
        <w:t xml:space="preserve"> and Iceland).</w:t>
      </w:r>
      <w:r>
        <w:t xml:space="preserve"> </w:t>
      </w:r>
    </w:p>
  </w:footnote>
  <w:footnote w:id="4">
    <w:p w14:paraId="3F546062" w14:textId="493B7CB8" w:rsidR="0082297F" w:rsidRDefault="0082297F">
      <w:pPr>
        <w:pStyle w:val="footnotedescription"/>
        <w:spacing w:line="246" w:lineRule="auto"/>
        <w:ind w:right="66"/>
      </w:pPr>
      <w:r>
        <w:rPr>
          <w:rStyle w:val="footnotemark"/>
        </w:rPr>
        <w:footnoteRef/>
      </w:r>
      <w:r>
        <w:t xml:space="preserve"> </w:t>
      </w:r>
      <w:r w:rsidRPr="00D33A53">
        <w:rPr>
          <w:rFonts w:asciiTheme="minorHAnsi" w:hAnsiTheme="minorHAnsi" w:cstheme="minorHAnsi"/>
          <w:sz w:val="22"/>
        </w:rPr>
        <w:t>Questions 11 and 12 reflect the requirement in the Data Protection Act 2018 that personal data may not be used for research purposes if: (a) it is processed for the purposes of measures or decisions with respect to particular individuals; or (b) it is likely to cause substantial damage or substantial distress to an individual.</w:t>
      </w:r>
      <w:r>
        <w:rPr>
          <w:sz w:val="24"/>
        </w:rPr>
        <w:t xml:space="preserve"> </w:t>
      </w:r>
    </w:p>
    <w:p w14:paraId="23025FC7" w14:textId="77777777" w:rsidR="0082297F" w:rsidRDefault="0082297F">
      <w:pPr>
        <w:pStyle w:val="footnotedescription"/>
        <w:spacing w:line="259" w:lineRule="auto"/>
        <w:jc w:val="left"/>
      </w:pPr>
      <w:r>
        <w:rPr>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D81E9" w14:textId="77777777" w:rsidR="0082297F" w:rsidRDefault="0082297F">
    <w:pPr>
      <w:spacing w:after="0" w:line="259" w:lineRule="auto"/>
      <w:ind w:left="14" w:right="0" w:firstLine="0"/>
      <w:jc w:val="left"/>
    </w:pPr>
    <w:r>
      <w:rPr>
        <w:rFonts w:ascii="Arial" w:eastAsia="Arial" w:hAnsi="Arial" w:cs="Arial"/>
        <w:i/>
        <w:sz w:val="16"/>
      </w:rPr>
      <w:t xml:space="preserve">Data Protection &amp; Research                                                                                                                   </w:t>
    </w:r>
    <w:r>
      <w:rPr>
        <w:rFonts w:ascii="Arial" w:eastAsia="Arial" w:hAnsi="Arial"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52C32" w14:textId="77777777" w:rsidR="0082297F" w:rsidRDefault="0082297F">
    <w:pPr>
      <w:spacing w:after="0" w:line="259" w:lineRule="auto"/>
      <w:ind w:left="14" w:right="0" w:firstLine="0"/>
      <w:jc w:val="left"/>
    </w:pPr>
    <w:r>
      <w:rPr>
        <w:rFonts w:ascii="Arial" w:eastAsia="Arial" w:hAnsi="Arial" w:cs="Arial"/>
        <w:i/>
        <w:sz w:val="16"/>
      </w:rPr>
      <w:t xml:space="preserve">Data Protection &amp; Research                                                                                                                   </w:t>
    </w:r>
    <w:r>
      <w:rPr>
        <w:rFonts w:ascii="Arial" w:eastAsia="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F868D" w14:textId="77777777" w:rsidR="0082297F" w:rsidRDefault="0082297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2385"/>
    <w:multiLevelType w:val="hybridMultilevel"/>
    <w:tmpl w:val="B4C43424"/>
    <w:lvl w:ilvl="0" w:tplc="F584863C">
      <w:start w:val="1"/>
      <w:numFmt w:val="bullet"/>
      <w:lvlText w:val=""/>
      <w:lvlJc w:val="left"/>
      <w:pPr>
        <w:ind w:left="1079" w:hanging="360"/>
      </w:pPr>
      <w:rPr>
        <w:rFonts w:ascii="Symbol" w:hAnsi="Symbol" w:hint="default"/>
      </w:rPr>
    </w:lvl>
    <w:lvl w:ilvl="1" w:tplc="508805AC" w:tentative="1">
      <w:start w:val="1"/>
      <w:numFmt w:val="bullet"/>
      <w:lvlText w:val="o"/>
      <w:lvlJc w:val="left"/>
      <w:pPr>
        <w:ind w:left="1799" w:hanging="360"/>
      </w:pPr>
      <w:rPr>
        <w:rFonts w:ascii="Courier New" w:hAnsi="Courier New" w:hint="default"/>
      </w:rPr>
    </w:lvl>
    <w:lvl w:ilvl="2" w:tplc="DB0012EE" w:tentative="1">
      <w:start w:val="1"/>
      <w:numFmt w:val="bullet"/>
      <w:lvlText w:val=""/>
      <w:lvlJc w:val="left"/>
      <w:pPr>
        <w:ind w:left="2519" w:hanging="360"/>
      </w:pPr>
      <w:rPr>
        <w:rFonts w:ascii="Wingdings" w:hAnsi="Wingdings" w:hint="default"/>
      </w:rPr>
    </w:lvl>
    <w:lvl w:ilvl="3" w:tplc="96E8D598" w:tentative="1">
      <w:start w:val="1"/>
      <w:numFmt w:val="bullet"/>
      <w:lvlText w:val=""/>
      <w:lvlJc w:val="left"/>
      <w:pPr>
        <w:ind w:left="3239" w:hanging="360"/>
      </w:pPr>
      <w:rPr>
        <w:rFonts w:ascii="Symbol" w:hAnsi="Symbol" w:hint="default"/>
      </w:rPr>
    </w:lvl>
    <w:lvl w:ilvl="4" w:tplc="BF7A6400" w:tentative="1">
      <w:start w:val="1"/>
      <w:numFmt w:val="bullet"/>
      <w:lvlText w:val="o"/>
      <w:lvlJc w:val="left"/>
      <w:pPr>
        <w:ind w:left="3959" w:hanging="360"/>
      </w:pPr>
      <w:rPr>
        <w:rFonts w:ascii="Courier New" w:hAnsi="Courier New" w:hint="default"/>
      </w:rPr>
    </w:lvl>
    <w:lvl w:ilvl="5" w:tplc="AC76C504" w:tentative="1">
      <w:start w:val="1"/>
      <w:numFmt w:val="bullet"/>
      <w:lvlText w:val=""/>
      <w:lvlJc w:val="left"/>
      <w:pPr>
        <w:ind w:left="4679" w:hanging="360"/>
      </w:pPr>
      <w:rPr>
        <w:rFonts w:ascii="Wingdings" w:hAnsi="Wingdings" w:hint="default"/>
      </w:rPr>
    </w:lvl>
    <w:lvl w:ilvl="6" w:tplc="9EACDED0" w:tentative="1">
      <w:start w:val="1"/>
      <w:numFmt w:val="bullet"/>
      <w:lvlText w:val=""/>
      <w:lvlJc w:val="left"/>
      <w:pPr>
        <w:ind w:left="5399" w:hanging="360"/>
      </w:pPr>
      <w:rPr>
        <w:rFonts w:ascii="Symbol" w:hAnsi="Symbol" w:hint="default"/>
      </w:rPr>
    </w:lvl>
    <w:lvl w:ilvl="7" w:tplc="7EEA63B2" w:tentative="1">
      <w:start w:val="1"/>
      <w:numFmt w:val="bullet"/>
      <w:lvlText w:val="o"/>
      <w:lvlJc w:val="left"/>
      <w:pPr>
        <w:ind w:left="6119" w:hanging="360"/>
      </w:pPr>
      <w:rPr>
        <w:rFonts w:ascii="Courier New" w:hAnsi="Courier New" w:hint="default"/>
      </w:rPr>
    </w:lvl>
    <w:lvl w:ilvl="8" w:tplc="22742D70" w:tentative="1">
      <w:start w:val="1"/>
      <w:numFmt w:val="bullet"/>
      <w:lvlText w:val=""/>
      <w:lvlJc w:val="left"/>
      <w:pPr>
        <w:ind w:left="6839" w:hanging="360"/>
      </w:pPr>
      <w:rPr>
        <w:rFonts w:ascii="Wingdings" w:hAnsi="Wingdings" w:hint="default"/>
      </w:rPr>
    </w:lvl>
  </w:abstractNum>
  <w:abstractNum w:abstractNumId="1" w15:restartNumberingAfterBreak="0">
    <w:nsid w:val="100C7666"/>
    <w:multiLevelType w:val="hybridMultilevel"/>
    <w:tmpl w:val="F07EC20C"/>
    <w:lvl w:ilvl="0" w:tplc="D9EEFA46">
      <w:start w:val="1"/>
      <w:numFmt w:val="bullet"/>
      <w:lvlText w:val=""/>
      <w:lvlJc w:val="left"/>
      <w:pPr>
        <w:ind w:left="2160" w:hanging="360"/>
      </w:pPr>
      <w:rPr>
        <w:rFonts w:ascii="Symbol" w:hAnsi="Symbol" w:hint="default"/>
      </w:rPr>
    </w:lvl>
    <w:lvl w:ilvl="1" w:tplc="E620D794">
      <w:start w:val="1"/>
      <w:numFmt w:val="bullet"/>
      <w:lvlText w:val="o"/>
      <w:lvlJc w:val="left"/>
      <w:pPr>
        <w:ind w:left="2880" w:hanging="360"/>
      </w:pPr>
      <w:rPr>
        <w:rFonts w:ascii="Courier New" w:hAnsi="Courier New" w:hint="default"/>
      </w:rPr>
    </w:lvl>
    <w:lvl w:ilvl="2" w:tplc="E1E0F068">
      <w:start w:val="1"/>
      <w:numFmt w:val="bullet"/>
      <w:lvlText w:val=""/>
      <w:lvlJc w:val="left"/>
      <w:pPr>
        <w:ind w:left="3600" w:hanging="360"/>
      </w:pPr>
      <w:rPr>
        <w:rFonts w:ascii="Wingdings" w:hAnsi="Wingdings" w:hint="default"/>
      </w:rPr>
    </w:lvl>
    <w:lvl w:ilvl="3" w:tplc="53D6BC44">
      <w:start w:val="1"/>
      <w:numFmt w:val="bullet"/>
      <w:lvlText w:val=""/>
      <w:lvlJc w:val="left"/>
      <w:pPr>
        <w:ind w:left="4320" w:hanging="360"/>
      </w:pPr>
      <w:rPr>
        <w:rFonts w:ascii="Symbol" w:hAnsi="Symbol" w:hint="default"/>
      </w:rPr>
    </w:lvl>
    <w:lvl w:ilvl="4" w:tplc="0870EC60">
      <w:start w:val="1"/>
      <w:numFmt w:val="bullet"/>
      <w:lvlText w:val="o"/>
      <w:lvlJc w:val="left"/>
      <w:pPr>
        <w:ind w:left="5040" w:hanging="360"/>
      </w:pPr>
      <w:rPr>
        <w:rFonts w:ascii="Courier New" w:hAnsi="Courier New" w:hint="default"/>
      </w:rPr>
    </w:lvl>
    <w:lvl w:ilvl="5" w:tplc="C650A59E">
      <w:start w:val="1"/>
      <w:numFmt w:val="bullet"/>
      <w:lvlText w:val=""/>
      <w:lvlJc w:val="left"/>
      <w:pPr>
        <w:ind w:left="5760" w:hanging="360"/>
      </w:pPr>
      <w:rPr>
        <w:rFonts w:ascii="Wingdings" w:hAnsi="Wingdings" w:hint="default"/>
      </w:rPr>
    </w:lvl>
    <w:lvl w:ilvl="6" w:tplc="20C4783E">
      <w:start w:val="1"/>
      <w:numFmt w:val="bullet"/>
      <w:lvlText w:val=""/>
      <w:lvlJc w:val="left"/>
      <w:pPr>
        <w:ind w:left="6480" w:hanging="360"/>
      </w:pPr>
      <w:rPr>
        <w:rFonts w:ascii="Symbol" w:hAnsi="Symbol" w:hint="default"/>
      </w:rPr>
    </w:lvl>
    <w:lvl w:ilvl="7" w:tplc="6A629D14">
      <w:start w:val="1"/>
      <w:numFmt w:val="bullet"/>
      <w:lvlText w:val="o"/>
      <w:lvlJc w:val="left"/>
      <w:pPr>
        <w:ind w:left="7200" w:hanging="360"/>
      </w:pPr>
      <w:rPr>
        <w:rFonts w:ascii="Courier New" w:hAnsi="Courier New" w:hint="default"/>
      </w:rPr>
    </w:lvl>
    <w:lvl w:ilvl="8" w:tplc="779AEAB6">
      <w:start w:val="1"/>
      <w:numFmt w:val="bullet"/>
      <w:lvlText w:val=""/>
      <w:lvlJc w:val="left"/>
      <w:pPr>
        <w:ind w:left="7920" w:hanging="360"/>
      </w:pPr>
      <w:rPr>
        <w:rFonts w:ascii="Wingdings" w:hAnsi="Wingdings" w:hint="default"/>
      </w:rPr>
    </w:lvl>
  </w:abstractNum>
  <w:abstractNum w:abstractNumId="2" w15:restartNumberingAfterBreak="0">
    <w:nsid w:val="260E2B34"/>
    <w:multiLevelType w:val="hybridMultilevel"/>
    <w:tmpl w:val="4E769F2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 w15:restartNumberingAfterBreak="0">
    <w:nsid w:val="2E954D6A"/>
    <w:multiLevelType w:val="hybridMultilevel"/>
    <w:tmpl w:val="18C214A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CD44C7"/>
    <w:multiLevelType w:val="hybridMultilevel"/>
    <w:tmpl w:val="7A26626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33B67CFC"/>
    <w:multiLevelType w:val="hybridMultilevel"/>
    <w:tmpl w:val="18D89AD0"/>
    <w:lvl w:ilvl="0" w:tplc="8D767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450590"/>
    <w:multiLevelType w:val="hybridMultilevel"/>
    <w:tmpl w:val="3F4CBEFC"/>
    <w:lvl w:ilvl="0" w:tplc="13224570">
      <w:start w:val="1"/>
      <w:numFmt w:val="bullet"/>
      <w:lvlText w:val=""/>
      <w:lvlJc w:val="left"/>
      <w:pPr>
        <w:ind w:left="1080" w:hanging="360"/>
      </w:pPr>
      <w:rPr>
        <w:rFonts w:ascii="Symbol" w:hAnsi="Symbol" w:hint="default"/>
      </w:rPr>
    </w:lvl>
    <w:lvl w:ilvl="1" w:tplc="6B145192" w:tentative="1">
      <w:start w:val="1"/>
      <w:numFmt w:val="bullet"/>
      <w:lvlText w:val="o"/>
      <w:lvlJc w:val="left"/>
      <w:pPr>
        <w:ind w:left="1800" w:hanging="360"/>
      </w:pPr>
      <w:rPr>
        <w:rFonts w:ascii="Courier New" w:hAnsi="Courier New" w:hint="default"/>
      </w:rPr>
    </w:lvl>
    <w:lvl w:ilvl="2" w:tplc="BC32626C" w:tentative="1">
      <w:start w:val="1"/>
      <w:numFmt w:val="bullet"/>
      <w:lvlText w:val=""/>
      <w:lvlJc w:val="left"/>
      <w:pPr>
        <w:ind w:left="2520" w:hanging="360"/>
      </w:pPr>
      <w:rPr>
        <w:rFonts w:ascii="Wingdings" w:hAnsi="Wingdings" w:hint="default"/>
      </w:rPr>
    </w:lvl>
    <w:lvl w:ilvl="3" w:tplc="437C5F7E" w:tentative="1">
      <w:start w:val="1"/>
      <w:numFmt w:val="bullet"/>
      <w:lvlText w:val=""/>
      <w:lvlJc w:val="left"/>
      <w:pPr>
        <w:ind w:left="3240" w:hanging="360"/>
      </w:pPr>
      <w:rPr>
        <w:rFonts w:ascii="Symbol" w:hAnsi="Symbol" w:hint="default"/>
      </w:rPr>
    </w:lvl>
    <w:lvl w:ilvl="4" w:tplc="CAE06DF8" w:tentative="1">
      <w:start w:val="1"/>
      <w:numFmt w:val="bullet"/>
      <w:lvlText w:val="o"/>
      <w:lvlJc w:val="left"/>
      <w:pPr>
        <w:ind w:left="3960" w:hanging="360"/>
      </w:pPr>
      <w:rPr>
        <w:rFonts w:ascii="Courier New" w:hAnsi="Courier New" w:hint="default"/>
      </w:rPr>
    </w:lvl>
    <w:lvl w:ilvl="5" w:tplc="23EA229E" w:tentative="1">
      <w:start w:val="1"/>
      <w:numFmt w:val="bullet"/>
      <w:lvlText w:val=""/>
      <w:lvlJc w:val="left"/>
      <w:pPr>
        <w:ind w:left="4680" w:hanging="360"/>
      </w:pPr>
      <w:rPr>
        <w:rFonts w:ascii="Wingdings" w:hAnsi="Wingdings" w:hint="default"/>
      </w:rPr>
    </w:lvl>
    <w:lvl w:ilvl="6" w:tplc="7ACEB626" w:tentative="1">
      <w:start w:val="1"/>
      <w:numFmt w:val="bullet"/>
      <w:lvlText w:val=""/>
      <w:lvlJc w:val="left"/>
      <w:pPr>
        <w:ind w:left="5400" w:hanging="360"/>
      </w:pPr>
      <w:rPr>
        <w:rFonts w:ascii="Symbol" w:hAnsi="Symbol" w:hint="default"/>
      </w:rPr>
    </w:lvl>
    <w:lvl w:ilvl="7" w:tplc="74CEA28A" w:tentative="1">
      <w:start w:val="1"/>
      <w:numFmt w:val="bullet"/>
      <w:lvlText w:val="o"/>
      <w:lvlJc w:val="left"/>
      <w:pPr>
        <w:ind w:left="6120" w:hanging="360"/>
      </w:pPr>
      <w:rPr>
        <w:rFonts w:ascii="Courier New" w:hAnsi="Courier New" w:hint="default"/>
      </w:rPr>
    </w:lvl>
    <w:lvl w:ilvl="8" w:tplc="09B49BBA" w:tentative="1">
      <w:start w:val="1"/>
      <w:numFmt w:val="bullet"/>
      <w:lvlText w:val=""/>
      <w:lvlJc w:val="left"/>
      <w:pPr>
        <w:ind w:left="6840" w:hanging="360"/>
      </w:pPr>
      <w:rPr>
        <w:rFonts w:ascii="Wingdings" w:hAnsi="Wingdings" w:hint="default"/>
      </w:rPr>
    </w:lvl>
  </w:abstractNum>
  <w:abstractNum w:abstractNumId="7" w15:restartNumberingAfterBreak="0">
    <w:nsid w:val="5EA475E2"/>
    <w:multiLevelType w:val="hybridMultilevel"/>
    <w:tmpl w:val="0116E89A"/>
    <w:lvl w:ilvl="0" w:tplc="6B24DC1E">
      <w:start w:val="1"/>
      <w:numFmt w:val="decimal"/>
      <w:lvlText w:val="%1."/>
      <w:lvlJc w:val="left"/>
      <w:pPr>
        <w:ind w:left="1066" w:hanging="360"/>
      </w:pPr>
      <w:rPr>
        <w:rFonts w:hint="default"/>
        <w:b/>
        <w:color w:val="auto"/>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8" w15:restartNumberingAfterBreak="0">
    <w:nsid w:val="63190EFF"/>
    <w:multiLevelType w:val="hybridMultilevel"/>
    <w:tmpl w:val="7A987432"/>
    <w:lvl w:ilvl="0" w:tplc="FC70EE6C">
      <w:start w:val="1"/>
      <w:numFmt w:val="lowerLetter"/>
      <w:lvlText w:val="(%1)"/>
      <w:lvlJc w:val="left"/>
      <w:pPr>
        <w:ind w:left="764" w:hanging="360"/>
      </w:pPr>
    </w:lvl>
    <w:lvl w:ilvl="1" w:tplc="4B72C1F8" w:tentative="1">
      <w:start w:val="1"/>
      <w:numFmt w:val="lowerLetter"/>
      <w:lvlText w:val="%2."/>
      <w:lvlJc w:val="left"/>
      <w:pPr>
        <w:ind w:left="1484" w:hanging="360"/>
      </w:pPr>
    </w:lvl>
    <w:lvl w:ilvl="2" w:tplc="D0443A44" w:tentative="1">
      <w:start w:val="1"/>
      <w:numFmt w:val="lowerRoman"/>
      <w:lvlText w:val="%3."/>
      <w:lvlJc w:val="right"/>
      <w:pPr>
        <w:ind w:left="2204" w:hanging="180"/>
      </w:pPr>
    </w:lvl>
    <w:lvl w:ilvl="3" w:tplc="9C40BA3E" w:tentative="1">
      <w:start w:val="1"/>
      <w:numFmt w:val="decimal"/>
      <w:lvlText w:val="%4."/>
      <w:lvlJc w:val="left"/>
      <w:pPr>
        <w:ind w:left="2924" w:hanging="360"/>
      </w:pPr>
    </w:lvl>
    <w:lvl w:ilvl="4" w:tplc="5A8879B2" w:tentative="1">
      <w:start w:val="1"/>
      <w:numFmt w:val="lowerLetter"/>
      <w:lvlText w:val="%5."/>
      <w:lvlJc w:val="left"/>
      <w:pPr>
        <w:ind w:left="3644" w:hanging="360"/>
      </w:pPr>
    </w:lvl>
    <w:lvl w:ilvl="5" w:tplc="186EA138" w:tentative="1">
      <w:start w:val="1"/>
      <w:numFmt w:val="lowerRoman"/>
      <w:lvlText w:val="%6."/>
      <w:lvlJc w:val="right"/>
      <w:pPr>
        <w:ind w:left="4364" w:hanging="180"/>
      </w:pPr>
    </w:lvl>
    <w:lvl w:ilvl="6" w:tplc="857091E2" w:tentative="1">
      <w:start w:val="1"/>
      <w:numFmt w:val="decimal"/>
      <w:lvlText w:val="%7."/>
      <w:lvlJc w:val="left"/>
      <w:pPr>
        <w:ind w:left="5084" w:hanging="360"/>
      </w:pPr>
    </w:lvl>
    <w:lvl w:ilvl="7" w:tplc="F7E48C1A" w:tentative="1">
      <w:start w:val="1"/>
      <w:numFmt w:val="lowerLetter"/>
      <w:lvlText w:val="%8."/>
      <w:lvlJc w:val="left"/>
      <w:pPr>
        <w:ind w:left="5804" w:hanging="360"/>
      </w:pPr>
    </w:lvl>
    <w:lvl w:ilvl="8" w:tplc="30E04954" w:tentative="1">
      <w:start w:val="1"/>
      <w:numFmt w:val="lowerRoman"/>
      <w:lvlText w:val="%9."/>
      <w:lvlJc w:val="right"/>
      <w:pPr>
        <w:ind w:left="6524" w:hanging="180"/>
      </w:pPr>
    </w:lvl>
  </w:abstractNum>
  <w:abstractNum w:abstractNumId="9" w15:restartNumberingAfterBreak="0">
    <w:nsid w:val="67B54AB1"/>
    <w:multiLevelType w:val="hybridMultilevel"/>
    <w:tmpl w:val="7E1676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7CC5D46"/>
    <w:multiLevelType w:val="hybridMultilevel"/>
    <w:tmpl w:val="675E0DB6"/>
    <w:lvl w:ilvl="0" w:tplc="C69001B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B97E0BC"/>
    <w:multiLevelType w:val="hybridMultilevel"/>
    <w:tmpl w:val="56742DF0"/>
    <w:lvl w:ilvl="0" w:tplc="8904E922">
      <w:start w:val="1"/>
      <w:numFmt w:val="bullet"/>
      <w:lvlText w:val=""/>
      <w:lvlJc w:val="left"/>
      <w:pPr>
        <w:ind w:left="720" w:hanging="360"/>
      </w:pPr>
      <w:rPr>
        <w:rFonts w:ascii="Symbol" w:hAnsi="Symbol" w:hint="default"/>
      </w:rPr>
    </w:lvl>
    <w:lvl w:ilvl="1" w:tplc="5A607E8C">
      <w:start w:val="1"/>
      <w:numFmt w:val="bullet"/>
      <w:lvlText w:val=""/>
      <w:lvlJc w:val="left"/>
      <w:pPr>
        <w:ind w:left="1440" w:hanging="360"/>
      </w:pPr>
      <w:rPr>
        <w:rFonts w:ascii="Symbol" w:hAnsi="Symbol" w:hint="default"/>
      </w:rPr>
    </w:lvl>
    <w:lvl w:ilvl="2" w:tplc="35902AD4">
      <w:start w:val="1"/>
      <w:numFmt w:val="bullet"/>
      <w:lvlText w:val=""/>
      <w:lvlJc w:val="left"/>
      <w:pPr>
        <w:ind w:left="2160" w:hanging="360"/>
      </w:pPr>
      <w:rPr>
        <w:rFonts w:ascii="Wingdings" w:hAnsi="Wingdings" w:hint="default"/>
      </w:rPr>
    </w:lvl>
    <w:lvl w:ilvl="3" w:tplc="6D802796">
      <w:start w:val="1"/>
      <w:numFmt w:val="bullet"/>
      <w:lvlText w:val=""/>
      <w:lvlJc w:val="left"/>
      <w:pPr>
        <w:ind w:left="2880" w:hanging="360"/>
      </w:pPr>
      <w:rPr>
        <w:rFonts w:ascii="Symbol" w:hAnsi="Symbol" w:hint="default"/>
      </w:rPr>
    </w:lvl>
    <w:lvl w:ilvl="4" w:tplc="FE72F78A">
      <w:start w:val="1"/>
      <w:numFmt w:val="bullet"/>
      <w:lvlText w:val="o"/>
      <w:lvlJc w:val="left"/>
      <w:pPr>
        <w:ind w:left="3600" w:hanging="360"/>
      </w:pPr>
      <w:rPr>
        <w:rFonts w:ascii="Courier New" w:hAnsi="Courier New" w:hint="default"/>
      </w:rPr>
    </w:lvl>
    <w:lvl w:ilvl="5" w:tplc="014047EA">
      <w:start w:val="1"/>
      <w:numFmt w:val="bullet"/>
      <w:lvlText w:val=""/>
      <w:lvlJc w:val="left"/>
      <w:pPr>
        <w:ind w:left="4320" w:hanging="360"/>
      </w:pPr>
      <w:rPr>
        <w:rFonts w:ascii="Wingdings" w:hAnsi="Wingdings" w:hint="default"/>
      </w:rPr>
    </w:lvl>
    <w:lvl w:ilvl="6" w:tplc="5426A272">
      <w:start w:val="1"/>
      <w:numFmt w:val="bullet"/>
      <w:lvlText w:val=""/>
      <w:lvlJc w:val="left"/>
      <w:pPr>
        <w:ind w:left="5040" w:hanging="360"/>
      </w:pPr>
      <w:rPr>
        <w:rFonts w:ascii="Symbol" w:hAnsi="Symbol" w:hint="default"/>
      </w:rPr>
    </w:lvl>
    <w:lvl w:ilvl="7" w:tplc="6FBCE212">
      <w:start w:val="1"/>
      <w:numFmt w:val="bullet"/>
      <w:lvlText w:val="o"/>
      <w:lvlJc w:val="left"/>
      <w:pPr>
        <w:ind w:left="5760" w:hanging="360"/>
      </w:pPr>
      <w:rPr>
        <w:rFonts w:ascii="Courier New" w:hAnsi="Courier New" w:hint="default"/>
      </w:rPr>
    </w:lvl>
    <w:lvl w:ilvl="8" w:tplc="8FC61412">
      <w:start w:val="1"/>
      <w:numFmt w:val="bullet"/>
      <w:lvlText w:val=""/>
      <w:lvlJc w:val="left"/>
      <w:pPr>
        <w:ind w:left="6480" w:hanging="360"/>
      </w:pPr>
      <w:rPr>
        <w:rFonts w:ascii="Wingdings" w:hAnsi="Wingdings" w:hint="default"/>
      </w:rPr>
    </w:lvl>
  </w:abstractNum>
  <w:abstractNum w:abstractNumId="12" w15:restartNumberingAfterBreak="0">
    <w:nsid w:val="6C955193"/>
    <w:multiLevelType w:val="hybridMultilevel"/>
    <w:tmpl w:val="62B88B94"/>
    <w:lvl w:ilvl="0" w:tplc="20F6E858">
      <w:start w:val="1"/>
      <w:numFmt w:val="bullet"/>
      <w:lvlText w:val="•"/>
      <w:lvlJc w:val="left"/>
      <w:pPr>
        <w:ind w:left="11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174781C">
      <w:start w:val="1"/>
      <w:numFmt w:val="bullet"/>
      <w:lvlText w:val="o"/>
      <w:lvlJc w:val="left"/>
      <w:pPr>
        <w:ind w:left="19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9CAD6FC">
      <w:start w:val="1"/>
      <w:numFmt w:val="bullet"/>
      <w:lvlText w:val="▪"/>
      <w:lvlJc w:val="left"/>
      <w:pPr>
        <w:ind w:left="26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8583D6C">
      <w:start w:val="1"/>
      <w:numFmt w:val="bullet"/>
      <w:lvlText w:val="•"/>
      <w:lvlJc w:val="left"/>
      <w:pPr>
        <w:ind w:left="33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276D160">
      <w:start w:val="1"/>
      <w:numFmt w:val="bullet"/>
      <w:lvlText w:val="o"/>
      <w:lvlJc w:val="left"/>
      <w:pPr>
        <w:ind w:left="41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B96CE0C">
      <w:start w:val="1"/>
      <w:numFmt w:val="bullet"/>
      <w:lvlText w:val="▪"/>
      <w:lvlJc w:val="left"/>
      <w:pPr>
        <w:ind w:left="48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E8E47B0">
      <w:start w:val="1"/>
      <w:numFmt w:val="bullet"/>
      <w:lvlText w:val="•"/>
      <w:lvlJc w:val="left"/>
      <w:pPr>
        <w:ind w:left="55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2EC842">
      <w:start w:val="1"/>
      <w:numFmt w:val="bullet"/>
      <w:lvlText w:val="o"/>
      <w:lvlJc w:val="left"/>
      <w:pPr>
        <w:ind w:left="62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4705904">
      <w:start w:val="1"/>
      <w:numFmt w:val="bullet"/>
      <w:lvlText w:val="▪"/>
      <w:lvlJc w:val="left"/>
      <w:pPr>
        <w:ind w:left="69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84047C"/>
    <w:multiLevelType w:val="hybridMultilevel"/>
    <w:tmpl w:val="6892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4A6"/>
    <w:multiLevelType w:val="hybridMultilevel"/>
    <w:tmpl w:val="462C8868"/>
    <w:lvl w:ilvl="0" w:tplc="B2C849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BD4E62"/>
    <w:multiLevelType w:val="hybridMultilevel"/>
    <w:tmpl w:val="A62A25E8"/>
    <w:lvl w:ilvl="0" w:tplc="97D698BA">
      <w:start w:val="1"/>
      <w:numFmt w:val="decimal"/>
      <w:lvlText w:val="%1."/>
      <w:lvlJc w:val="left"/>
      <w:pPr>
        <w:ind w:left="720" w:hanging="360"/>
      </w:pPr>
    </w:lvl>
    <w:lvl w:ilvl="1" w:tplc="A7A03EA4">
      <w:start w:val="1"/>
      <w:numFmt w:val="lowerLetter"/>
      <w:lvlText w:val="%2."/>
      <w:lvlJc w:val="left"/>
      <w:pPr>
        <w:ind w:left="1440" w:hanging="360"/>
      </w:pPr>
    </w:lvl>
    <w:lvl w:ilvl="2" w:tplc="A73C46AE">
      <w:start w:val="1"/>
      <w:numFmt w:val="lowerRoman"/>
      <w:lvlText w:val="%3."/>
      <w:lvlJc w:val="right"/>
      <w:pPr>
        <w:ind w:left="2160" w:hanging="180"/>
      </w:pPr>
    </w:lvl>
    <w:lvl w:ilvl="3" w:tplc="EAFE9B1C">
      <w:start w:val="1"/>
      <w:numFmt w:val="decimal"/>
      <w:lvlText w:val="%4."/>
      <w:lvlJc w:val="left"/>
      <w:pPr>
        <w:ind w:left="2880" w:hanging="360"/>
      </w:pPr>
    </w:lvl>
    <w:lvl w:ilvl="4" w:tplc="EA7C4D50">
      <w:start w:val="1"/>
      <w:numFmt w:val="lowerLetter"/>
      <w:lvlText w:val="%5."/>
      <w:lvlJc w:val="left"/>
      <w:pPr>
        <w:ind w:left="3600" w:hanging="360"/>
      </w:pPr>
    </w:lvl>
    <w:lvl w:ilvl="5" w:tplc="6BDE9B20">
      <w:start w:val="1"/>
      <w:numFmt w:val="lowerRoman"/>
      <w:lvlText w:val="%6."/>
      <w:lvlJc w:val="right"/>
      <w:pPr>
        <w:ind w:left="4320" w:hanging="180"/>
      </w:pPr>
    </w:lvl>
    <w:lvl w:ilvl="6" w:tplc="93F481E0">
      <w:start w:val="1"/>
      <w:numFmt w:val="decimal"/>
      <w:lvlText w:val="%7."/>
      <w:lvlJc w:val="left"/>
      <w:pPr>
        <w:ind w:left="5040" w:hanging="360"/>
      </w:pPr>
    </w:lvl>
    <w:lvl w:ilvl="7" w:tplc="E05A57A2">
      <w:start w:val="1"/>
      <w:numFmt w:val="lowerLetter"/>
      <w:lvlText w:val="%8."/>
      <w:lvlJc w:val="left"/>
      <w:pPr>
        <w:ind w:left="5760" w:hanging="360"/>
      </w:pPr>
    </w:lvl>
    <w:lvl w:ilvl="8" w:tplc="6772ECA0">
      <w:start w:val="1"/>
      <w:numFmt w:val="lowerRoman"/>
      <w:lvlText w:val="%9."/>
      <w:lvlJc w:val="right"/>
      <w:pPr>
        <w:ind w:left="6480" w:hanging="180"/>
      </w:pPr>
    </w:lvl>
  </w:abstractNum>
  <w:num w:numId="1">
    <w:abstractNumId w:val="15"/>
  </w:num>
  <w:num w:numId="2">
    <w:abstractNumId w:val="12"/>
  </w:num>
  <w:num w:numId="3">
    <w:abstractNumId w:val="13"/>
  </w:num>
  <w:num w:numId="4">
    <w:abstractNumId w:val="6"/>
  </w:num>
  <w:num w:numId="5">
    <w:abstractNumId w:val="2"/>
  </w:num>
  <w:num w:numId="6">
    <w:abstractNumId w:val="4"/>
  </w:num>
  <w:num w:numId="7">
    <w:abstractNumId w:val="7"/>
  </w:num>
  <w:num w:numId="8">
    <w:abstractNumId w:val="8"/>
  </w:num>
  <w:num w:numId="9">
    <w:abstractNumId w:val="0"/>
  </w:num>
  <w:num w:numId="10">
    <w:abstractNumId w:val="1"/>
  </w:num>
  <w:num w:numId="11">
    <w:abstractNumId w:val="11"/>
  </w:num>
  <w:num w:numId="12">
    <w:abstractNumId w:val="10"/>
  </w:num>
  <w:num w:numId="13">
    <w:abstractNumId w:val="14"/>
  </w:num>
  <w:num w:numId="14">
    <w:abstractNumId w:val="5"/>
  </w:num>
  <w:num w:numId="15">
    <w:abstractNumId w:val="3"/>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68"/>
    <w:rsid w:val="0000022E"/>
    <w:rsid w:val="000008D0"/>
    <w:rsid w:val="00004B9C"/>
    <w:rsid w:val="000052D2"/>
    <w:rsid w:val="000054F6"/>
    <w:rsid w:val="00006CAF"/>
    <w:rsid w:val="00007A9A"/>
    <w:rsid w:val="0001039E"/>
    <w:rsid w:val="00015781"/>
    <w:rsid w:val="00027D81"/>
    <w:rsid w:val="00027ECD"/>
    <w:rsid w:val="00033A87"/>
    <w:rsid w:val="00041D01"/>
    <w:rsid w:val="0004249F"/>
    <w:rsid w:val="00044EA0"/>
    <w:rsid w:val="00051BC5"/>
    <w:rsid w:val="00052F60"/>
    <w:rsid w:val="000539C6"/>
    <w:rsid w:val="00053A2D"/>
    <w:rsid w:val="00070655"/>
    <w:rsid w:val="0007307D"/>
    <w:rsid w:val="000760DD"/>
    <w:rsid w:val="000825B9"/>
    <w:rsid w:val="00082604"/>
    <w:rsid w:val="000914D1"/>
    <w:rsid w:val="00091BE8"/>
    <w:rsid w:val="0009455B"/>
    <w:rsid w:val="000A53C6"/>
    <w:rsid w:val="000A5648"/>
    <w:rsid w:val="000B02FF"/>
    <w:rsid w:val="000B588F"/>
    <w:rsid w:val="000B5ED3"/>
    <w:rsid w:val="000C2B7F"/>
    <w:rsid w:val="000D03EA"/>
    <w:rsid w:val="000D0465"/>
    <w:rsid w:val="000D1644"/>
    <w:rsid w:val="000D287C"/>
    <w:rsid w:val="000D3411"/>
    <w:rsid w:val="000D3D66"/>
    <w:rsid w:val="000E64B3"/>
    <w:rsid w:val="000E7177"/>
    <w:rsid w:val="000F395D"/>
    <w:rsid w:val="000F3B2E"/>
    <w:rsid w:val="000F5699"/>
    <w:rsid w:val="00101D16"/>
    <w:rsid w:val="00103F72"/>
    <w:rsid w:val="001045D6"/>
    <w:rsid w:val="0010750E"/>
    <w:rsid w:val="0011258D"/>
    <w:rsid w:val="00113EE2"/>
    <w:rsid w:val="00121095"/>
    <w:rsid w:val="001219E3"/>
    <w:rsid w:val="00121F69"/>
    <w:rsid w:val="00126A0B"/>
    <w:rsid w:val="00136AEE"/>
    <w:rsid w:val="0013731D"/>
    <w:rsid w:val="00140EA1"/>
    <w:rsid w:val="0014139B"/>
    <w:rsid w:val="00147827"/>
    <w:rsid w:val="00160244"/>
    <w:rsid w:val="00160C5D"/>
    <w:rsid w:val="0017332C"/>
    <w:rsid w:val="0018197C"/>
    <w:rsid w:val="001853C3"/>
    <w:rsid w:val="00185D69"/>
    <w:rsid w:val="00185DEE"/>
    <w:rsid w:val="00197178"/>
    <w:rsid w:val="001972C6"/>
    <w:rsid w:val="001979E5"/>
    <w:rsid w:val="00197F68"/>
    <w:rsid w:val="001A3936"/>
    <w:rsid w:val="001A72DD"/>
    <w:rsid w:val="001B29A1"/>
    <w:rsid w:val="001B3B65"/>
    <w:rsid w:val="001B3C1C"/>
    <w:rsid w:val="001B5C8A"/>
    <w:rsid w:val="001C0767"/>
    <w:rsid w:val="001C35DB"/>
    <w:rsid w:val="001D3D7F"/>
    <w:rsid w:val="001D3FD9"/>
    <w:rsid w:val="001E250D"/>
    <w:rsid w:val="001E383A"/>
    <w:rsid w:val="001E4DF5"/>
    <w:rsid w:val="001F0A5F"/>
    <w:rsid w:val="001F10C4"/>
    <w:rsid w:val="001F19BA"/>
    <w:rsid w:val="001F2508"/>
    <w:rsid w:val="001F3EB2"/>
    <w:rsid w:val="001F6225"/>
    <w:rsid w:val="00202466"/>
    <w:rsid w:val="00206035"/>
    <w:rsid w:val="00212AE7"/>
    <w:rsid w:val="00216D7E"/>
    <w:rsid w:val="002201E8"/>
    <w:rsid w:val="00220E8B"/>
    <w:rsid w:val="0022217D"/>
    <w:rsid w:val="0022234A"/>
    <w:rsid w:val="00223586"/>
    <w:rsid w:val="00223FD3"/>
    <w:rsid w:val="002255DD"/>
    <w:rsid w:val="002265FE"/>
    <w:rsid w:val="0023087E"/>
    <w:rsid w:val="002323AC"/>
    <w:rsid w:val="00236055"/>
    <w:rsid w:val="00241201"/>
    <w:rsid w:val="002426DB"/>
    <w:rsid w:val="00250212"/>
    <w:rsid w:val="0025602F"/>
    <w:rsid w:val="002563F5"/>
    <w:rsid w:val="0026038D"/>
    <w:rsid w:val="00263D18"/>
    <w:rsid w:val="00266607"/>
    <w:rsid w:val="00271F84"/>
    <w:rsid w:val="00274567"/>
    <w:rsid w:val="0028120D"/>
    <w:rsid w:val="0028167C"/>
    <w:rsid w:val="00281A90"/>
    <w:rsid w:val="00282D47"/>
    <w:rsid w:val="00284A3B"/>
    <w:rsid w:val="00284D57"/>
    <w:rsid w:val="002869C4"/>
    <w:rsid w:val="00287B7B"/>
    <w:rsid w:val="0029143B"/>
    <w:rsid w:val="00296224"/>
    <w:rsid w:val="00297515"/>
    <w:rsid w:val="002A7277"/>
    <w:rsid w:val="002B0134"/>
    <w:rsid w:val="002B0B25"/>
    <w:rsid w:val="002D6F4C"/>
    <w:rsid w:val="002E2162"/>
    <w:rsid w:val="002E2426"/>
    <w:rsid w:val="002E2AE2"/>
    <w:rsid w:val="002E53E3"/>
    <w:rsid w:val="002E57BB"/>
    <w:rsid w:val="002E6676"/>
    <w:rsid w:val="002E790C"/>
    <w:rsid w:val="002F1516"/>
    <w:rsid w:val="002F66B0"/>
    <w:rsid w:val="00300E72"/>
    <w:rsid w:val="003231FE"/>
    <w:rsid w:val="00323916"/>
    <w:rsid w:val="00331B63"/>
    <w:rsid w:val="00334E47"/>
    <w:rsid w:val="003370C0"/>
    <w:rsid w:val="00337147"/>
    <w:rsid w:val="003372FD"/>
    <w:rsid w:val="00337EE3"/>
    <w:rsid w:val="00340C33"/>
    <w:rsid w:val="00344225"/>
    <w:rsid w:val="00356026"/>
    <w:rsid w:val="0035642A"/>
    <w:rsid w:val="0035757F"/>
    <w:rsid w:val="003623B0"/>
    <w:rsid w:val="00362FD0"/>
    <w:rsid w:val="00370A9C"/>
    <w:rsid w:val="00375473"/>
    <w:rsid w:val="00375BD6"/>
    <w:rsid w:val="00385358"/>
    <w:rsid w:val="00386022"/>
    <w:rsid w:val="003869C0"/>
    <w:rsid w:val="0038FEA5"/>
    <w:rsid w:val="00390FE1"/>
    <w:rsid w:val="00392481"/>
    <w:rsid w:val="00393970"/>
    <w:rsid w:val="00394295"/>
    <w:rsid w:val="0039689D"/>
    <w:rsid w:val="003A02CF"/>
    <w:rsid w:val="003A235B"/>
    <w:rsid w:val="003A51C1"/>
    <w:rsid w:val="003A7E35"/>
    <w:rsid w:val="003C0A8A"/>
    <w:rsid w:val="003C5CC4"/>
    <w:rsid w:val="003D2165"/>
    <w:rsid w:val="003D2D88"/>
    <w:rsid w:val="003D6461"/>
    <w:rsid w:val="003D7048"/>
    <w:rsid w:val="003E1748"/>
    <w:rsid w:val="003E5A4B"/>
    <w:rsid w:val="003F04F1"/>
    <w:rsid w:val="003F5E62"/>
    <w:rsid w:val="003F6609"/>
    <w:rsid w:val="0040098A"/>
    <w:rsid w:val="00407BB1"/>
    <w:rsid w:val="004150E1"/>
    <w:rsid w:val="00415A68"/>
    <w:rsid w:val="004207DA"/>
    <w:rsid w:val="00421340"/>
    <w:rsid w:val="00427AF7"/>
    <w:rsid w:val="00431166"/>
    <w:rsid w:val="0043272C"/>
    <w:rsid w:val="00434345"/>
    <w:rsid w:val="004356D0"/>
    <w:rsid w:val="00440395"/>
    <w:rsid w:val="0044073C"/>
    <w:rsid w:val="004433E6"/>
    <w:rsid w:val="00444A8F"/>
    <w:rsid w:val="0044630A"/>
    <w:rsid w:val="0045308E"/>
    <w:rsid w:val="00454E17"/>
    <w:rsid w:val="00455592"/>
    <w:rsid w:val="00456652"/>
    <w:rsid w:val="004743F9"/>
    <w:rsid w:val="0047776F"/>
    <w:rsid w:val="00481B92"/>
    <w:rsid w:val="004824A7"/>
    <w:rsid w:val="004875B7"/>
    <w:rsid w:val="00487CA5"/>
    <w:rsid w:val="00490F4A"/>
    <w:rsid w:val="00491F31"/>
    <w:rsid w:val="0049408C"/>
    <w:rsid w:val="004A47E4"/>
    <w:rsid w:val="004A6DD9"/>
    <w:rsid w:val="004A7FBB"/>
    <w:rsid w:val="004B016A"/>
    <w:rsid w:val="004B301B"/>
    <w:rsid w:val="004B3D2A"/>
    <w:rsid w:val="004C1E06"/>
    <w:rsid w:val="004C1E3A"/>
    <w:rsid w:val="004C6D9A"/>
    <w:rsid w:val="004E06D2"/>
    <w:rsid w:val="004E099D"/>
    <w:rsid w:val="004E3F78"/>
    <w:rsid w:val="004E42F4"/>
    <w:rsid w:val="004E5317"/>
    <w:rsid w:val="004F634C"/>
    <w:rsid w:val="005022AE"/>
    <w:rsid w:val="00502416"/>
    <w:rsid w:val="00507CB0"/>
    <w:rsid w:val="005103E8"/>
    <w:rsid w:val="00510EA1"/>
    <w:rsid w:val="0051444A"/>
    <w:rsid w:val="00515039"/>
    <w:rsid w:val="00515929"/>
    <w:rsid w:val="00517CCC"/>
    <w:rsid w:val="00527385"/>
    <w:rsid w:val="00533061"/>
    <w:rsid w:val="0053493D"/>
    <w:rsid w:val="00537D50"/>
    <w:rsid w:val="0054122F"/>
    <w:rsid w:val="00550361"/>
    <w:rsid w:val="00550422"/>
    <w:rsid w:val="00551414"/>
    <w:rsid w:val="0056113B"/>
    <w:rsid w:val="005612D2"/>
    <w:rsid w:val="00570CE9"/>
    <w:rsid w:val="00573FC0"/>
    <w:rsid w:val="0057496D"/>
    <w:rsid w:val="005778B3"/>
    <w:rsid w:val="005818FF"/>
    <w:rsid w:val="005850B2"/>
    <w:rsid w:val="0059619D"/>
    <w:rsid w:val="005A5FCF"/>
    <w:rsid w:val="005B2DE4"/>
    <w:rsid w:val="005B5257"/>
    <w:rsid w:val="005C1EC2"/>
    <w:rsid w:val="005C4F3B"/>
    <w:rsid w:val="005C51B5"/>
    <w:rsid w:val="005C5A75"/>
    <w:rsid w:val="005C6B44"/>
    <w:rsid w:val="005C7DD5"/>
    <w:rsid w:val="005D011D"/>
    <w:rsid w:val="005D3728"/>
    <w:rsid w:val="005D674D"/>
    <w:rsid w:val="005D7A28"/>
    <w:rsid w:val="005F2250"/>
    <w:rsid w:val="005F58D3"/>
    <w:rsid w:val="005F5912"/>
    <w:rsid w:val="005F5926"/>
    <w:rsid w:val="00604B7A"/>
    <w:rsid w:val="00605604"/>
    <w:rsid w:val="0060798F"/>
    <w:rsid w:val="00612119"/>
    <w:rsid w:val="0061494F"/>
    <w:rsid w:val="00614F7C"/>
    <w:rsid w:val="006152F0"/>
    <w:rsid w:val="00617580"/>
    <w:rsid w:val="00620583"/>
    <w:rsid w:val="006219AB"/>
    <w:rsid w:val="00621C92"/>
    <w:rsid w:val="00621CDD"/>
    <w:rsid w:val="006236F1"/>
    <w:rsid w:val="00624C03"/>
    <w:rsid w:val="006334E8"/>
    <w:rsid w:val="00646D90"/>
    <w:rsid w:val="00652BD1"/>
    <w:rsid w:val="00655E75"/>
    <w:rsid w:val="00657441"/>
    <w:rsid w:val="00657ED3"/>
    <w:rsid w:val="006676EB"/>
    <w:rsid w:val="00672DBD"/>
    <w:rsid w:val="00676392"/>
    <w:rsid w:val="00676B40"/>
    <w:rsid w:val="00677666"/>
    <w:rsid w:val="00681A53"/>
    <w:rsid w:val="00684C50"/>
    <w:rsid w:val="00690A93"/>
    <w:rsid w:val="00693940"/>
    <w:rsid w:val="00694A24"/>
    <w:rsid w:val="006A49FE"/>
    <w:rsid w:val="006B00A1"/>
    <w:rsid w:val="006B38C5"/>
    <w:rsid w:val="006B7417"/>
    <w:rsid w:val="006C1B9A"/>
    <w:rsid w:val="006C718F"/>
    <w:rsid w:val="006D0293"/>
    <w:rsid w:val="006D1EA6"/>
    <w:rsid w:val="006D4FEF"/>
    <w:rsid w:val="006D63B4"/>
    <w:rsid w:val="006DA81D"/>
    <w:rsid w:val="006E20B3"/>
    <w:rsid w:val="006F7700"/>
    <w:rsid w:val="006F7D10"/>
    <w:rsid w:val="00700988"/>
    <w:rsid w:val="0070419E"/>
    <w:rsid w:val="00704C02"/>
    <w:rsid w:val="00707896"/>
    <w:rsid w:val="007123D0"/>
    <w:rsid w:val="00713456"/>
    <w:rsid w:val="00717AC6"/>
    <w:rsid w:val="007248F1"/>
    <w:rsid w:val="007414CE"/>
    <w:rsid w:val="00741DD5"/>
    <w:rsid w:val="007508E5"/>
    <w:rsid w:val="0075180B"/>
    <w:rsid w:val="00752A4F"/>
    <w:rsid w:val="00755359"/>
    <w:rsid w:val="0075754F"/>
    <w:rsid w:val="007575B6"/>
    <w:rsid w:val="00760895"/>
    <w:rsid w:val="00760AA8"/>
    <w:rsid w:val="00771CC7"/>
    <w:rsid w:val="00772805"/>
    <w:rsid w:val="00773528"/>
    <w:rsid w:val="00775E7D"/>
    <w:rsid w:val="00782CFA"/>
    <w:rsid w:val="00783AF8"/>
    <w:rsid w:val="00784B2F"/>
    <w:rsid w:val="00785C7B"/>
    <w:rsid w:val="00786D3E"/>
    <w:rsid w:val="007A30C2"/>
    <w:rsid w:val="007A38A9"/>
    <w:rsid w:val="007A61C4"/>
    <w:rsid w:val="007A6C1B"/>
    <w:rsid w:val="007B66F3"/>
    <w:rsid w:val="007B7880"/>
    <w:rsid w:val="007C05C3"/>
    <w:rsid w:val="007C10F1"/>
    <w:rsid w:val="007C1259"/>
    <w:rsid w:val="007C2DDF"/>
    <w:rsid w:val="007C37F1"/>
    <w:rsid w:val="007C4D96"/>
    <w:rsid w:val="007C687E"/>
    <w:rsid w:val="007C7DB1"/>
    <w:rsid w:val="007D5233"/>
    <w:rsid w:val="007D5778"/>
    <w:rsid w:val="007D740A"/>
    <w:rsid w:val="007E192A"/>
    <w:rsid w:val="007E2730"/>
    <w:rsid w:val="00800D0C"/>
    <w:rsid w:val="008012BE"/>
    <w:rsid w:val="00801CE2"/>
    <w:rsid w:val="00804216"/>
    <w:rsid w:val="008064E2"/>
    <w:rsid w:val="00821328"/>
    <w:rsid w:val="00821CA0"/>
    <w:rsid w:val="0082297F"/>
    <w:rsid w:val="00833508"/>
    <w:rsid w:val="008365A9"/>
    <w:rsid w:val="00851A59"/>
    <w:rsid w:val="00852728"/>
    <w:rsid w:val="008559DC"/>
    <w:rsid w:val="00863460"/>
    <w:rsid w:val="008639AA"/>
    <w:rsid w:val="00863C90"/>
    <w:rsid w:val="00872A0C"/>
    <w:rsid w:val="00872A55"/>
    <w:rsid w:val="00872FA6"/>
    <w:rsid w:val="0087347D"/>
    <w:rsid w:val="008743BD"/>
    <w:rsid w:val="0087671F"/>
    <w:rsid w:val="00880025"/>
    <w:rsid w:val="00880EA1"/>
    <w:rsid w:val="00891DA5"/>
    <w:rsid w:val="008938F0"/>
    <w:rsid w:val="00895A75"/>
    <w:rsid w:val="008972CA"/>
    <w:rsid w:val="008A1469"/>
    <w:rsid w:val="008A1626"/>
    <w:rsid w:val="008B211B"/>
    <w:rsid w:val="008B7464"/>
    <w:rsid w:val="008C03C1"/>
    <w:rsid w:val="008C45ED"/>
    <w:rsid w:val="008D1032"/>
    <w:rsid w:val="008D1DAA"/>
    <w:rsid w:val="008D371E"/>
    <w:rsid w:val="008D6B16"/>
    <w:rsid w:val="008E4F07"/>
    <w:rsid w:val="008F08E2"/>
    <w:rsid w:val="008F1C68"/>
    <w:rsid w:val="008F4B57"/>
    <w:rsid w:val="008F58B8"/>
    <w:rsid w:val="008F6AF3"/>
    <w:rsid w:val="009033B6"/>
    <w:rsid w:val="00905B1E"/>
    <w:rsid w:val="00911AEB"/>
    <w:rsid w:val="00912387"/>
    <w:rsid w:val="00914553"/>
    <w:rsid w:val="00917122"/>
    <w:rsid w:val="00920BD4"/>
    <w:rsid w:val="00921827"/>
    <w:rsid w:val="00931545"/>
    <w:rsid w:val="00934EF5"/>
    <w:rsid w:val="00940532"/>
    <w:rsid w:val="00940EE9"/>
    <w:rsid w:val="00946DCC"/>
    <w:rsid w:val="0094762D"/>
    <w:rsid w:val="00947736"/>
    <w:rsid w:val="00952469"/>
    <w:rsid w:val="00952B03"/>
    <w:rsid w:val="009576D0"/>
    <w:rsid w:val="00961F16"/>
    <w:rsid w:val="00965879"/>
    <w:rsid w:val="00971264"/>
    <w:rsid w:val="0097406D"/>
    <w:rsid w:val="00975851"/>
    <w:rsid w:val="00977E92"/>
    <w:rsid w:val="0098259C"/>
    <w:rsid w:val="009938CD"/>
    <w:rsid w:val="009A3C58"/>
    <w:rsid w:val="009A4045"/>
    <w:rsid w:val="009A611D"/>
    <w:rsid w:val="009B055E"/>
    <w:rsid w:val="009B6334"/>
    <w:rsid w:val="009C0D26"/>
    <w:rsid w:val="009C160F"/>
    <w:rsid w:val="009C6494"/>
    <w:rsid w:val="009D2870"/>
    <w:rsid w:val="009D5BA4"/>
    <w:rsid w:val="009E2C54"/>
    <w:rsid w:val="009E7593"/>
    <w:rsid w:val="009F0308"/>
    <w:rsid w:val="009F7A8F"/>
    <w:rsid w:val="00A01A31"/>
    <w:rsid w:val="00A21D8B"/>
    <w:rsid w:val="00A31B8B"/>
    <w:rsid w:val="00A3264C"/>
    <w:rsid w:val="00A356A7"/>
    <w:rsid w:val="00A43697"/>
    <w:rsid w:val="00A45D88"/>
    <w:rsid w:val="00A54E2F"/>
    <w:rsid w:val="00A744FC"/>
    <w:rsid w:val="00A8493F"/>
    <w:rsid w:val="00A852BD"/>
    <w:rsid w:val="00A911C5"/>
    <w:rsid w:val="00A91F7C"/>
    <w:rsid w:val="00A93410"/>
    <w:rsid w:val="00A978D0"/>
    <w:rsid w:val="00AA2AB8"/>
    <w:rsid w:val="00AA74A1"/>
    <w:rsid w:val="00AB0DB8"/>
    <w:rsid w:val="00AB60AE"/>
    <w:rsid w:val="00AC3044"/>
    <w:rsid w:val="00AD5F93"/>
    <w:rsid w:val="00AD6709"/>
    <w:rsid w:val="00AD6B32"/>
    <w:rsid w:val="00AE4173"/>
    <w:rsid w:val="00AE460B"/>
    <w:rsid w:val="00AE4642"/>
    <w:rsid w:val="00AE62B3"/>
    <w:rsid w:val="00AF30C4"/>
    <w:rsid w:val="00AF39D5"/>
    <w:rsid w:val="00AF5406"/>
    <w:rsid w:val="00AF5559"/>
    <w:rsid w:val="00AF57A5"/>
    <w:rsid w:val="00B01C36"/>
    <w:rsid w:val="00B03882"/>
    <w:rsid w:val="00B06038"/>
    <w:rsid w:val="00B06DC6"/>
    <w:rsid w:val="00B07E67"/>
    <w:rsid w:val="00B12DD8"/>
    <w:rsid w:val="00B14C6A"/>
    <w:rsid w:val="00B1555B"/>
    <w:rsid w:val="00B15BCE"/>
    <w:rsid w:val="00B16605"/>
    <w:rsid w:val="00B177F3"/>
    <w:rsid w:val="00B264C9"/>
    <w:rsid w:val="00B27876"/>
    <w:rsid w:val="00B30B64"/>
    <w:rsid w:val="00B46CA4"/>
    <w:rsid w:val="00B478BB"/>
    <w:rsid w:val="00B519A9"/>
    <w:rsid w:val="00B53710"/>
    <w:rsid w:val="00B55D70"/>
    <w:rsid w:val="00B61F48"/>
    <w:rsid w:val="00B7504B"/>
    <w:rsid w:val="00B82009"/>
    <w:rsid w:val="00B83FCD"/>
    <w:rsid w:val="00B85206"/>
    <w:rsid w:val="00B87EB3"/>
    <w:rsid w:val="00BA2556"/>
    <w:rsid w:val="00BA66DA"/>
    <w:rsid w:val="00BA7C70"/>
    <w:rsid w:val="00BB07A0"/>
    <w:rsid w:val="00BB598D"/>
    <w:rsid w:val="00BC2223"/>
    <w:rsid w:val="00BC5CA5"/>
    <w:rsid w:val="00BD2D0E"/>
    <w:rsid w:val="00BE1573"/>
    <w:rsid w:val="00BE275F"/>
    <w:rsid w:val="00BE5FBE"/>
    <w:rsid w:val="00BE7BF9"/>
    <w:rsid w:val="00BF0184"/>
    <w:rsid w:val="00BF29AE"/>
    <w:rsid w:val="00BF7D97"/>
    <w:rsid w:val="00C01876"/>
    <w:rsid w:val="00C0274B"/>
    <w:rsid w:val="00C03326"/>
    <w:rsid w:val="00C07D76"/>
    <w:rsid w:val="00C16DEB"/>
    <w:rsid w:val="00C17F0D"/>
    <w:rsid w:val="00C200EF"/>
    <w:rsid w:val="00C2213B"/>
    <w:rsid w:val="00C24918"/>
    <w:rsid w:val="00C25713"/>
    <w:rsid w:val="00C2790C"/>
    <w:rsid w:val="00C3657F"/>
    <w:rsid w:val="00C366CE"/>
    <w:rsid w:val="00C56B18"/>
    <w:rsid w:val="00C60BAA"/>
    <w:rsid w:val="00C64320"/>
    <w:rsid w:val="00C66FC1"/>
    <w:rsid w:val="00C67C9C"/>
    <w:rsid w:val="00C74509"/>
    <w:rsid w:val="00C7741A"/>
    <w:rsid w:val="00C81D63"/>
    <w:rsid w:val="00C83026"/>
    <w:rsid w:val="00C8751E"/>
    <w:rsid w:val="00CA14BC"/>
    <w:rsid w:val="00CA6866"/>
    <w:rsid w:val="00CB5246"/>
    <w:rsid w:val="00CC059A"/>
    <w:rsid w:val="00CC08F5"/>
    <w:rsid w:val="00CC161A"/>
    <w:rsid w:val="00CD0DFA"/>
    <w:rsid w:val="00CD37E9"/>
    <w:rsid w:val="00CD4DA2"/>
    <w:rsid w:val="00CE196E"/>
    <w:rsid w:val="00CE291C"/>
    <w:rsid w:val="00CE45FF"/>
    <w:rsid w:val="00CE59B0"/>
    <w:rsid w:val="00CF36ED"/>
    <w:rsid w:val="00CF55C3"/>
    <w:rsid w:val="00CF5A3E"/>
    <w:rsid w:val="00D030E3"/>
    <w:rsid w:val="00D055EE"/>
    <w:rsid w:val="00D070CA"/>
    <w:rsid w:val="00D12CCC"/>
    <w:rsid w:val="00D14509"/>
    <w:rsid w:val="00D23B21"/>
    <w:rsid w:val="00D33401"/>
    <w:rsid w:val="00D33A53"/>
    <w:rsid w:val="00D40621"/>
    <w:rsid w:val="00D43B5C"/>
    <w:rsid w:val="00D4719F"/>
    <w:rsid w:val="00D472B4"/>
    <w:rsid w:val="00D500B0"/>
    <w:rsid w:val="00D5382B"/>
    <w:rsid w:val="00D54128"/>
    <w:rsid w:val="00D54BFA"/>
    <w:rsid w:val="00D550DB"/>
    <w:rsid w:val="00D554C9"/>
    <w:rsid w:val="00D5587C"/>
    <w:rsid w:val="00D62717"/>
    <w:rsid w:val="00D64001"/>
    <w:rsid w:val="00D672FA"/>
    <w:rsid w:val="00D70427"/>
    <w:rsid w:val="00D9220A"/>
    <w:rsid w:val="00D9324F"/>
    <w:rsid w:val="00DA524F"/>
    <w:rsid w:val="00DB1E75"/>
    <w:rsid w:val="00DB29DF"/>
    <w:rsid w:val="00DB3CAB"/>
    <w:rsid w:val="00DB50EF"/>
    <w:rsid w:val="00DB5167"/>
    <w:rsid w:val="00DC5878"/>
    <w:rsid w:val="00DD34B7"/>
    <w:rsid w:val="00DD512F"/>
    <w:rsid w:val="00DD7BE7"/>
    <w:rsid w:val="00DE252E"/>
    <w:rsid w:val="00DE3A48"/>
    <w:rsid w:val="00DF254F"/>
    <w:rsid w:val="00E07BFA"/>
    <w:rsid w:val="00E124DE"/>
    <w:rsid w:val="00E12B9E"/>
    <w:rsid w:val="00E23996"/>
    <w:rsid w:val="00E23D45"/>
    <w:rsid w:val="00E2566E"/>
    <w:rsid w:val="00E25C67"/>
    <w:rsid w:val="00E316E3"/>
    <w:rsid w:val="00E34733"/>
    <w:rsid w:val="00E34942"/>
    <w:rsid w:val="00E53665"/>
    <w:rsid w:val="00E570DB"/>
    <w:rsid w:val="00E61069"/>
    <w:rsid w:val="00E64574"/>
    <w:rsid w:val="00E67D5F"/>
    <w:rsid w:val="00E71E3A"/>
    <w:rsid w:val="00E776EE"/>
    <w:rsid w:val="00E85D59"/>
    <w:rsid w:val="00E92F2D"/>
    <w:rsid w:val="00E9406F"/>
    <w:rsid w:val="00E94F21"/>
    <w:rsid w:val="00EA14D0"/>
    <w:rsid w:val="00EA68A6"/>
    <w:rsid w:val="00EA69EC"/>
    <w:rsid w:val="00EA786E"/>
    <w:rsid w:val="00EB3390"/>
    <w:rsid w:val="00EB7371"/>
    <w:rsid w:val="00ED303D"/>
    <w:rsid w:val="00EE3994"/>
    <w:rsid w:val="00EE3A5F"/>
    <w:rsid w:val="00EF079B"/>
    <w:rsid w:val="00EF1669"/>
    <w:rsid w:val="00EF436B"/>
    <w:rsid w:val="00F00144"/>
    <w:rsid w:val="00F04626"/>
    <w:rsid w:val="00F04D3C"/>
    <w:rsid w:val="00F05F07"/>
    <w:rsid w:val="00F14318"/>
    <w:rsid w:val="00F167ED"/>
    <w:rsid w:val="00F17EC8"/>
    <w:rsid w:val="00F20018"/>
    <w:rsid w:val="00F20967"/>
    <w:rsid w:val="00F24431"/>
    <w:rsid w:val="00F24781"/>
    <w:rsid w:val="00F24819"/>
    <w:rsid w:val="00F24E4F"/>
    <w:rsid w:val="00F33D07"/>
    <w:rsid w:val="00F37206"/>
    <w:rsid w:val="00F4043E"/>
    <w:rsid w:val="00F448E5"/>
    <w:rsid w:val="00F469D7"/>
    <w:rsid w:val="00F54098"/>
    <w:rsid w:val="00F6279E"/>
    <w:rsid w:val="00F723F0"/>
    <w:rsid w:val="00F77095"/>
    <w:rsid w:val="00F77870"/>
    <w:rsid w:val="00F82439"/>
    <w:rsid w:val="00F8276B"/>
    <w:rsid w:val="00F83795"/>
    <w:rsid w:val="00F84396"/>
    <w:rsid w:val="00F8553F"/>
    <w:rsid w:val="00F9287C"/>
    <w:rsid w:val="00F94A7B"/>
    <w:rsid w:val="00F95969"/>
    <w:rsid w:val="00F96575"/>
    <w:rsid w:val="00FA0C78"/>
    <w:rsid w:val="00FA2C60"/>
    <w:rsid w:val="00FA3305"/>
    <w:rsid w:val="00FB2C5C"/>
    <w:rsid w:val="00FB4968"/>
    <w:rsid w:val="00FB4DB0"/>
    <w:rsid w:val="00FB74C4"/>
    <w:rsid w:val="00FC7301"/>
    <w:rsid w:val="00FD0049"/>
    <w:rsid w:val="00FD17B1"/>
    <w:rsid w:val="00FD648F"/>
    <w:rsid w:val="00FD6659"/>
    <w:rsid w:val="00FD693A"/>
    <w:rsid w:val="00FD6FDD"/>
    <w:rsid w:val="00FD78C5"/>
    <w:rsid w:val="00FE61E3"/>
    <w:rsid w:val="00FE6E55"/>
    <w:rsid w:val="00FF6586"/>
    <w:rsid w:val="0105094E"/>
    <w:rsid w:val="016BBEE4"/>
    <w:rsid w:val="016CA636"/>
    <w:rsid w:val="01AA6FE9"/>
    <w:rsid w:val="01B1D4DC"/>
    <w:rsid w:val="01DEF0F2"/>
    <w:rsid w:val="02064A09"/>
    <w:rsid w:val="0238ACBC"/>
    <w:rsid w:val="02BCFE08"/>
    <w:rsid w:val="02C28389"/>
    <w:rsid w:val="02F6340E"/>
    <w:rsid w:val="02FB6E8B"/>
    <w:rsid w:val="03231CA4"/>
    <w:rsid w:val="032A0BD9"/>
    <w:rsid w:val="03A3F370"/>
    <w:rsid w:val="03D95F09"/>
    <w:rsid w:val="03E33CB9"/>
    <w:rsid w:val="03F171AE"/>
    <w:rsid w:val="0414D8A3"/>
    <w:rsid w:val="04178BFB"/>
    <w:rsid w:val="041D8048"/>
    <w:rsid w:val="048BB613"/>
    <w:rsid w:val="050EBF93"/>
    <w:rsid w:val="05B56EE2"/>
    <w:rsid w:val="05D5AF8B"/>
    <w:rsid w:val="05E04176"/>
    <w:rsid w:val="05F162DF"/>
    <w:rsid w:val="060ACB3D"/>
    <w:rsid w:val="061FF6E2"/>
    <w:rsid w:val="063571BC"/>
    <w:rsid w:val="0652F452"/>
    <w:rsid w:val="0655E1C2"/>
    <w:rsid w:val="0688AEF8"/>
    <w:rsid w:val="06D4CA45"/>
    <w:rsid w:val="06E08850"/>
    <w:rsid w:val="06FAC15F"/>
    <w:rsid w:val="06FDD2B3"/>
    <w:rsid w:val="071AA24F"/>
    <w:rsid w:val="073BF9A8"/>
    <w:rsid w:val="0757005F"/>
    <w:rsid w:val="078CD42B"/>
    <w:rsid w:val="07F05A38"/>
    <w:rsid w:val="07FF8C58"/>
    <w:rsid w:val="080F0BF2"/>
    <w:rsid w:val="0833D8EC"/>
    <w:rsid w:val="083D40E8"/>
    <w:rsid w:val="08570047"/>
    <w:rsid w:val="08632B5D"/>
    <w:rsid w:val="08758B8D"/>
    <w:rsid w:val="0898572D"/>
    <w:rsid w:val="08C23F76"/>
    <w:rsid w:val="094A7EA4"/>
    <w:rsid w:val="096446A2"/>
    <w:rsid w:val="0968A6B8"/>
    <w:rsid w:val="09ACE4A9"/>
    <w:rsid w:val="09B0BE3F"/>
    <w:rsid w:val="09F51B5D"/>
    <w:rsid w:val="0A02E1C6"/>
    <w:rsid w:val="0A3CC6EB"/>
    <w:rsid w:val="0A66500F"/>
    <w:rsid w:val="0A742C87"/>
    <w:rsid w:val="0ABBE0D8"/>
    <w:rsid w:val="0AD94EED"/>
    <w:rsid w:val="0AE20D72"/>
    <w:rsid w:val="0B2625E0"/>
    <w:rsid w:val="0B81B3AF"/>
    <w:rsid w:val="0B8A1FC8"/>
    <w:rsid w:val="0B98120F"/>
    <w:rsid w:val="0BA201DF"/>
    <w:rsid w:val="0C0E65FD"/>
    <w:rsid w:val="0C44309A"/>
    <w:rsid w:val="0C4F03EA"/>
    <w:rsid w:val="0C568553"/>
    <w:rsid w:val="0C78E01F"/>
    <w:rsid w:val="0CAD5924"/>
    <w:rsid w:val="0D8ABDBC"/>
    <w:rsid w:val="0D8F87FF"/>
    <w:rsid w:val="0DD667AE"/>
    <w:rsid w:val="0E1B5E9D"/>
    <w:rsid w:val="0E875D67"/>
    <w:rsid w:val="0EA21DD7"/>
    <w:rsid w:val="0EA54CAD"/>
    <w:rsid w:val="0EBA5F1B"/>
    <w:rsid w:val="0EE2592D"/>
    <w:rsid w:val="0F0AD6D9"/>
    <w:rsid w:val="0F2637CF"/>
    <w:rsid w:val="0F346EF5"/>
    <w:rsid w:val="0F6BA173"/>
    <w:rsid w:val="0FB7871B"/>
    <w:rsid w:val="0FB86886"/>
    <w:rsid w:val="0FBC272C"/>
    <w:rsid w:val="0FBC9357"/>
    <w:rsid w:val="0FC2DACB"/>
    <w:rsid w:val="0FC384AE"/>
    <w:rsid w:val="107CD017"/>
    <w:rsid w:val="10A9A02C"/>
    <w:rsid w:val="10AD1474"/>
    <w:rsid w:val="10C8C1F8"/>
    <w:rsid w:val="10F43799"/>
    <w:rsid w:val="110A1F73"/>
    <w:rsid w:val="110E45D9"/>
    <w:rsid w:val="112BC8BC"/>
    <w:rsid w:val="115267E7"/>
    <w:rsid w:val="1180C913"/>
    <w:rsid w:val="1192D5E7"/>
    <w:rsid w:val="11D92721"/>
    <w:rsid w:val="12294F3E"/>
    <w:rsid w:val="1244C220"/>
    <w:rsid w:val="125EFB3B"/>
    <w:rsid w:val="1294D0BF"/>
    <w:rsid w:val="129E3BFC"/>
    <w:rsid w:val="12B0C832"/>
    <w:rsid w:val="12EDA3ED"/>
    <w:rsid w:val="1307151F"/>
    <w:rsid w:val="133A9E92"/>
    <w:rsid w:val="13C43F57"/>
    <w:rsid w:val="13DEC011"/>
    <w:rsid w:val="14151F66"/>
    <w:rsid w:val="1443941F"/>
    <w:rsid w:val="144656A6"/>
    <w:rsid w:val="14543FBC"/>
    <w:rsid w:val="1484E842"/>
    <w:rsid w:val="148AD4DB"/>
    <w:rsid w:val="14992309"/>
    <w:rsid w:val="1517D9B1"/>
    <w:rsid w:val="154B637B"/>
    <w:rsid w:val="155BFC1B"/>
    <w:rsid w:val="157A185D"/>
    <w:rsid w:val="15A3D98A"/>
    <w:rsid w:val="15CE232B"/>
    <w:rsid w:val="15D1F834"/>
    <w:rsid w:val="15D2ADAE"/>
    <w:rsid w:val="15DA2F18"/>
    <w:rsid w:val="15E48A7D"/>
    <w:rsid w:val="163696B1"/>
    <w:rsid w:val="1649DC83"/>
    <w:rsid w:val="1667D426"/>
    <w:rsid w:val="167E47F1"/>
    <w:rsid w:val="1697CD7B"/>
    <w:rsid w:val="169F4A30"/>
    <w:rsid w:val="16C137A5"/>
    <w:rsid w:val="16C6C180"/>
    <w:rsid w:val="172190C9"/>
    <w:rsid w:val="1779BB6F"/>
    <w:rsid w:val="179327D0"/>
    <w:rsid w:val="1794D031"/>
    <w:rsid w:val="17CB9A0D"/>
    <w:rsid w:val="18158035"/>
    <w:rsid w:val="1831E7ED"/>
    <w:rsid w:val="189D7898"/>
    <w:rsid w:val="190B20F4"/>
    <w:rsid w:val="1913316F"/>
    <w:rsid w:val="1962717B"/>
    <w:rsid w:val="197D6A52"/>
    <w:rsid w:val="19D9031F"/>
    <w:rsid w:val="19E24743"/>
    <w:rsid w:val="1A934455"/>
    <w:rsid w:val="1AAB5581"/>
    <w:rsid w:val="1AAF01D0"/>
    <w:rsid w:val="1B587FAE"/>
    <w:rsid w:val="1BC6048D"/>
    <w:rsid w:val="1BCB3D9F"/>
    <w:rsid w:val="1BE959E1"/>
    <w:rsid w:val="1BEB5150"/>
    <w:rsid w:val="1C1723D5"/>
    <w:rsid w:val="1C4AD231"/>
    <w:rsid w:val="1C9A9220"/>
    <w:rsid w:val="1CA5D835"/>
    <w:rsid w:val="1D1591E7"/>
    <w:rsid w:val="1D35AF6F"/>
    <w:rsid w:val="1D45B792"/>
    <w:rsid w:val="1D6EF73A"/>
    <w:rsid w:val="1E5DF309"/>
    <w:rsid w:val="1E6BB6E2"/>
    <w:rsid w:val="1E6E698F"/>
    <w:rsid w:val="1EB99BFD"/>
    <w:rsid w:val="1EDA16BD"/>
    <w:rsid w:val="1F29E27E"/>
    <w:rsid w:val="1F672B75"/>
    <w:rsid w:val="1FB9099B"/>
    <w:rsid w:val="1FD1E47A"/>
    <w:rsid w:val="203B67B7"/>
    <w:rsid w:val="204C5194"/>
    <w:rsid w:val="20F347D9"/>
    <w:rsid w:val="21231E7C"/>
    <w:rsid w:val="2127D320"/>
    <w:rsid w:val="212E813D"/>
    <w:rsid w:val="2151A55A"/>
    <w:rsid w:val="216F6046"/>
    <w:rsid w:val="219A4E90"/>
    <w:rsid w:val="21CD61F4"/>
    <w:rsid w:val="220D3FA6"/>
    <w:rsid w:val="221B15B5"/>
    <w:rsid w:val="22A0EB58"/>
    <w:rsid w:val="22CDF658"/>
    <w:rsid w:val="231519B9"/>
    <w:rsid w:val="236455FB"/>
    <w:rsid w:val="23730879"/>
    <w:rsid w:val="23762F27"/>
    <w:rsid w:val="23981D77"/>
    <w:rsid w:val="23A1D5E7"/>
    <w:rsid w:val="23F37CDC"/>
    <w:rsid w:val="241BFB46"/>
    <w:rsid w:val="24740DC0"/>
    <w:rsid w:val="247549A5"/>
    <w:rsid w:val="2497C1BD"/>
    <w:rsid w:val="24B0EA1A"/>
    <w:rsid w:val="24BEBC3D"/>
    <w:rsid w:val="24C3320A"/>
    <w:rsid w:val="2580EE27"/>
    <w:rsid w:val="25824EED"/>
    <w:rsid w:val="258A21ED"/>
    <w:rsid w:val="258FCB1E"/>
    <w:rsid w:val="25A4754E"/>
    <w:rsid w:val="25CCE500"/>
    <w:rsid w:val="25FA24FD"/>
    <w:rsid w:val="262CAC4B"/>
    <w:rsid w:val="263BB5DA"/>
    <w:rsid w:val="268691F4"/>
    <w:rsid w:val="26C02C17"/>
    <w:rsid w:val="26DA61E7"/>
    <w:rsid w:val="27075F69"/>
    <w:rsid w:val="271803C3"/>
    <w:rsid w:val="2769A202"/>
    <w:rsid w:val="279CA8DB"/>
    <w:rsid w:val="27B0CE98"/>
    <w:rsid w:val="27D8519D"/>
    <w:rsid w:val="282A4AED"/>
    <w:rsid w:val="282D47B6"/>
    <w:rsid w:val="283A6192"/>
    <w:rsid w:val="284A6DB4"/>
    <w:rsid w:val="28549B81"/>
    <w:rsid w:val="286D8BC3"/>
    <w:rsid w:val="288D0882"/>
    <w:rsid w:val="28AC0ED7"/>
    <w:rsid w:val="28B05A9A"/>
    <w:rsid w:val="28E361A2"/>
    <w:rsid w:val="296B32E0"/>
    <w:rsid w:val="29894F22"/>
    <w:rsid w:val="2A21A7AF"/>
    <w:rsid w:val="2A2C68AB"/>
    <w:rsid w:val="2A7E6553"/>
    <w:rsid w:val="2A9A9E76"/>
    <w:rsid w:val="2AAF7F08"/>
    <w:rsid w:val="2ABECBD7"/>
    <w:rsid w:val="2AC35103"/>
    <w:rsid w:val="2ADF5F43"/>
    <w:rsid w:val="2B668002"/>
    <w:rsid w:val="2B669037"/>
    <w:rsid w:val="2B95156E"/>
    <w:rsid w:val="2BBF0682"/>
    <w:rsid w:val="2BE6554E"/>
    <w:rsid w:val="2C46BCB4"/>
    <w:rsid w:val="2CBBFBFF"/>
    <w:rsid w:val="2CDA1841"/>
    <w:rsid w:val="2D020B59"/>
    <w:rsid w:val="2D9203D7"/>
    <w:rsid w:val="2DCFD789"/>
    <w:rsid w:val="2DFF92AC"/>
    <w:rsid w:val="2E4C117F"/>
    <w:rsid w:val="2E91086E"/>
    <w:rsid w:val="2E9E20C4"/>
    <w:rsid w:val="2EB09523"/>
    <w:rsid w:val="2EB2522F"/>
    <w:rsid w:val="2EC6730A"/>
    <w:rsid w:val="2EF2F5DE"/>
    <w:rsid w:val="2F07C754"/>
    <w:rsid w:val="2F0E8810"/>
    <w:rsid w:val="2F482B85"/>
    <w:rsid w:val="2F6BB476"/>
    <w:rsid w:val="2FD96990"/>
    <w:rsid w:val="300DBC25"/>
    <w:rsid w:val="300F5F65"/>
    <w:rsid w:val="301DA7AA"/>
    <w:rsid w:val="302758D9"/>
    <w:rsid w:val="304569B4"/>
    <w:rsid w:val="3052E5E5"/>
    <w:rsid w:val="30713C39"/>
    <w:rsid w:val="30797233"/>
    <w:rsid w:val="30B635C9"/>
    <w:rsid w:val="30EF6F60"/>
    <w:rsid w:val="30EF7DEB"/>
    <w:rsid w:val="31298AD2"/>
    <w:rsid w:val="3140D60A"/>
    <w:rsid w:val="31759E98"/>
    <w:rsid w:val="31A03309"/>
    <w:rsid w:val="31C0B198"/>
    <w:rsid w:val="324C0B49"/>
    <w:rsid w:val="32E79FA5"/>
    <w:rsid w:val="330A7E8D"/>
    <w:rsid w:val="330E3D33"/>
    <w:rsid w:val="331F4FD1"/>
    <w:rsid w:val="33264C9C"/>
    <w:rsid w:val="333684D6"/>
    <w:rsid w:val="3345D356"/>
    <w:rsid w:val="3387B988"/>
    <w:rsid w:val="3391A9B8"/>
    <w:rsid w:val="3393978A"/>
    <w:rsid w:val="339B3154"/>
    <w:rsid w:val="33AD9453"/>
    <w:rsid w:val="33B4A286"/>
    <w:rsid w:val="33CEE61E"/>
    <w:rsid w:val="343F7EAF"/>
    <w:rsid w:val="345F86FF"/>
    <w:rsid w:val="346D0330"/>
    <w:rsid w:val="348BCB3A"/>
    <w:rsid w:val="3494AE75"/>
    <w:rsid w:val="34A42BF2"/>
    <w:rsid w:val="34CC01C9"/>
    <w:rsid w:val="34F926B5"/>
    <w:rsid w:val="350D7B0B"/>
    <w:rsid w:val="354D094B"/>
    <w:rsid w:val="357D8762"/>
    <w:rsid w:val="35837186"/>
    <w:rsid w:val="36004F8E"/>
    <w:rsid w:val="3654011C"/>
    <w:rsid w:val="3667D22A"/>
    <w:rsid w:val="3689CFAC"/>
    <w:rsid w:val="3694009B"/>
    <w:rsid w:val="36BF66B9"/>
    <w:rsid w:val="36EF0A45"/>
    <w:rsid w:val="371A1E9C"/>
    <w:rsid w:val="37265FEF"/>
    <w:rsid w:val="37C632F9"/>
    <w:rsid w:val="37F084D2"/>
    <w:rsid w:val="38056FC1"/>
    <w:rsid w:val="381F94B3"/>
    <w:rsid w:val="3833BCFF"/>
    <w:rsid w:val="38651ADB"/>
    <w:rsid w:val="387559BF"/>
    <w:rsid w:val="38872B2F"/>
    <w:rsid w:val="38B692D4"/>
    <w:rsid w:val="38E4908F"/>
    <w:rsid w:val="399A7F07"/>
    <w:rsid w:val="3A00EB3C"/>
    <w:rsid w:val="3A1FF37F"/>
    <w:rsid w:val="3A448096"/>
    <w:rsid w:val="3A526335"/>
    <w:rsid w:val="3B2A8A7E"/>
    <w:rsid w:val="3B364F68"/>
    <w:rsid w:val="3B5A9F0E"/>
    <w:rsid w:val="3B9F9AC4"/>
    <w:rsid w:val="3BE18F37"/>
    <w:rsid w:val="3C548027"/>
    <w:rsid w:val="3CD21FC9"/>
    <w:rsid w:val="3CD713AE"/>
    <w:rsid w:val="3CDD08F3"/>
    <w:rsid w:val="3D0B51C5"/>
    <w:rsid w:val="3D334957"/>
    <w:rsid w:val="3D8AEB38"/>
    <w:rsid w:val="3DA02839"/>
    <w:rsid w:val="3DA651BB"/>
    <w:rsid w:val="3DED0D80"/>
    <w:rsid w:val="3E1E9043"/>
    <w:rsid w:val="3E392843"/>
    <w:rsid w:val="3E417178"/>
    <w:rsid w:val="3E54C7CD"/>
    <w:rsid w:val="3E945E5A"/>
    <w:rsid w:val="3E9FF727"/>
    <w:rsid w:val="3EA72226"/>
    <w:rsid w:val="3F042BE8"/>
    <w:rsid w:val="3F2D6A41"/>
    <w:rsid w:val="3F3D6757"/>
    <w:rsid w:val="3F587D5A"/>
    <w:rsid w:val="3F5C0FFA"/>
    <w:rsid w:val="3F82C4FE"/>
    <w:rsid w:val="3F946366"/>
    <w:rsid w:val="3FCD8BA7"/>
    <w:rsid w:val="3FCEDD19"/>
    <w:rsid w:val="3FF3D4A1"/>
    <w:rsid w:val="3FF88168"/>
    <w:rsid w:val="40207B58"/>
    <w:rsid w:val="4042F287"/>
    <w:rsid w:val="40C96388"/>
    <w:rsid w:val="40CF3D6C"/>
    <w:rsid w:val="4187D6CC"/>
    <w:rsid w:val="41AA84D1"/>
    <w:rsid w:val="41B27257"/>
    <w:rsid w:val="41DEC2E8"/>
    <w:rsid w:val="41FA39ED"/>
    <w:rsid w:val="4208EDA3"/>
    <w:rsid w:val="420EBF5F"/>
    <w:rsid w:val="422D440B"/>
    <w:rsid w:val="423DD9C1"/>
    <w:rsid w:val="425998E6"/>
    <w:rsid w:val="42790A19"/>
    <w:rsid w:val="429358DB"/>
    <w:rsid w:val="42BEB9CD"/>
    <w:rsid w:val="4348A7AB"/>
    <w:rsid w:val="434E42B8"/>
    <w:rsid w:val="437A9349"/>
    <w:rsid w:val="43E4051A"/>
    <w:rsid w:val="43F3BC65"/>
    <w:rsid w:val="44087BB5"/>
    <w:rsid w:val="4417A57E"/>
    <w:rsid w:val="4445FB39"/>
    <w:rsid w:val="4479E927"/>
    <w:rsid w:val="44A6FB4B"/>
    <w:rsid w:val="44DD87A0"/>
    <w:rsid w:val="44EA1319"/>
    <w:rsid w:val="44FE5B38"/>
    <w:rsid w:val="44FF437E"/>
    <w:rsid w:val="451663AA"/>
    <w:rsid w:val="451EBFE9"/>
    <w:rsid w:val="4531056A"/>
    <w:rsid w:val="454B8B69"/>
    <w:rsid w:val="456B5F4F"/>
    <w:rsid w:val="4591C66D"/>
    <w:rsid w:val="45B0CC28"/>
    <w:rsid w:val="45C1A5E1"/>
    <w:rsid w:val="45F1AB31"/>
    <w:rsid w:val="45F5C317"/>
    <w:rsid w:val="461DA88A"/>
    <w:rsid w:val="46537E14"/>
    <w:rsid w:val="46990BAE"/>
    <w:rsid w:val="469E9F8D"/>
    <w:rsid w:val="46AC8412"/>
    <w:rsid w:val="46CCD5CB"/>
    <w:rsid w:val="4748D1FF"/>
    <w:rsid w:val="4761241E"/>
    <w:rsid w:val="478758BD"/>
    <w:rsid w:val="47C9A5AE"/>
    <w:rsid w:val="47E1E52E"/>
    <w:rsid w:val="4833F070"/>
    <w:rsid w:val="483CF374"/>
    <w:rsid w:val="485E8CE4"/>
    <w:rsid w:val="48E7EEF9"/>
    <w:rsid w:val="4955494C"/>
    <w:rsid w:val="49D511FB"/>
    <w:rsid w:val="4A76C11A"/>
    <w:rsid w:val="4AAF10B9"/>
    <w:rsid w:val="4AF49671"/>
    <w:rsid w:val="4B08DCDF"/>
    <w:rsid w:val="4B2BF2BA"/>
    <w:rsid w:val="4B4DC391"/>
    <w:rsid w:val="4B516717"/>
    <w:rsid w:val="4B803CFA"/>
    <w:rsid w:val="4BA046EE"/>
    <w:rsid w:val="4C2E5BE1"/>
    <w:rsid w:val="4C452A0A"/>
    <w:rsid w:val="4C4EF777"/>
    <w:rsid w:val="4C847252"/>
    <w:rsid w:val="4C85BF74"/>
    <w:rsid w:val="4C897666"/>
    <w:rsid w:val="4C958EED"/>
    <w:rsid w:val="4C9975DD"/>
    <w:rsid w:val="4D1D5D20"/>
    <w:rsid w:val="4D9EED6D"/>
    <w:rsid w:val="4DADCA64"/>
    <w:rsid w:val="4DE22857"/>
    <w:rsid w:val="4E24E2D6"/>
    <w:rsid w:val="4E67BFFC"/>
    <w:rsid w:val="4E7A57F1"/>
    <w:rsid w:val="4EF6F3FA"/>
    <w:rsid w:val="4EF898E4"/>
    <w:rsid w:val="4F6ED17A"/>
    <w:rsid w:val="4FBB0C2B"/>
    <w:rsid w:val="502CC5C0"/>
    <w:rsid w:val="50AAADB9"/>
    <w:rsid w:val="511C9016"/>
    <w:rsid w:val="519662BF"/>
    <w:rsid w:val="51C0A89B"/>
    <w:rsid w:val="51DD6479"/>
    <w:rsid w:val="51E31E75"/>
    <w:rsid w:val="52281564"/>
    <w:rsid w:val="5228A1CD"/>
    <w:rsid w:val="525A44FD"/>
    <w:rsid w:val="527BDA1F"/>
    <w:rsid w:val="529B001F"/>
    <w:rsid w:val="52ECBAA1"/>
    <w:rsid w:val="52F878F0"/>
    <w:rsid w:val="530A33C4"/>
    <w:rsid w:val="53248B7E"/>
    <w:rsid w:val="5348C07A"/>
    <w:rsid w:val="5374DF2C"/>
    <w:rsid w:val="54418567"/>
    <w:rsid w:val="5482F567"/>
    <w:rsid w:val="54936D6E"/>
    <w:rsid w:val="549917F3"/>
    <w:rsid w:val="550D2066"/>
    <w:rsid w:val="5544EF9A"/>
    <w:rsid w:val="555CE907"/>
    <w:rsid w:val="5585F512"/>
    <w:rsid w:val="558BC0D8"/>
    <w:rsid w:val="55A6E2A7"/>
    <w:rsid w:val="55B35902"/>
    <w:rsid w:val="55BDFA4C"/>
    <w:rsid w:val="55C06961"/>
    <w:rsid w:val="55F86B66"/>
    <w:rsid w:val="560CFC05"/>
    <w:rsid w:val="5660533A"/>
    <w:rsid w:val="5687100C"/>
    <w:rsid w:val="569EA192"/>
    <w:rsid w:val="56EC20CD"/>
    <w:rsid w:val="57562227"/>
    <w:rsid w:val="576681DD"/>
    <w:rsid w:val="576D7AF8"/>
    <w:rsid w:val="576DD8AD"/>
    <w:rsid w:val="576DE4A4"/>
    <w:rsid w:val="57848BFD"/>
    <w:rsid w:val="579EF201"/>
    <w:rsid w:val="5808BE1F"/>
    <w:rsid w:val="5824DB20"/>
    <w:rsid w:val="583066B4"/>
    <w:rsid w:val="5837D7A5"/>
    <w:rsid w:val="58A55B31"/>
    <w:rsid w:val="58A9D02D"/>
    <w:rsid w:val="58E14A66"/>
    <w:rsid w:val="59526595"/>
    <w:rsid w:val="5993A942"/>
    <w:rsid w:val="599A20F4"/>
    <w:rsid w:val="59E52D6A"/>
    <w:rsid w:val="5A6B060B"/>
    <w:rsid w:val="5A76F33B"/>
    <w:rsid w:val="5AF62281"/>
    <w:rsid w:val="5B0FBAEC"/>
    <w:rsid w:val="5B171F0D"/>
    <w:rsid w:val="5B711082"/>
    <w:rsid w:val="5B8CD1FB"/>
    <w:rsid w:val="5B9F0AB1"/>
    <w:rsid w:val="5BC5B6DF"/>
    <w:rsid w:val="5BE0D977"/>
    <w:rsid w:val="5BFDACB1"/>
    <w:rsid w:val="5C1761AA"/>
    <w:rsid w:val="5C5BED1D"/>
    <w:rsid w:val="5C848DA8"/>
    <w:rsid w:val="5CAB8B4D"/>
    <w:rsid w:val="5CC7E88F"/>
    <w:rsid w:val="5CFF6445"/>
    <w:rsid w:val="5D956BA0"/>
    <w:rsid w:val="5D9861D9"/>
    <w:rsid w:val="5DD36398"/>
    <w:rsid w:val="5DFF4003"/>
    <w:rsid w:val="5EA71929"/>
    <w:rsid w:val="5EAE2989"/>
    <w:rsid w:val="5F39A7B0"/>
    <w:rsid w:val="5F7CBFDA"/>
    <w:rsid w:val="5FB006A0"/>
    <w:rsid w:val="5FE32C0F"/>
    <w:rsid w:val="60129206"/>
    <w:rsid w:val="6016B487"/>
    <w:rsid w:val="6078A104"/>
    <w:rsid w:val="61A8F2BF"/>
    <w:rsid w:val="61DEB9EB"/>
    <w:rsid w:val="621300B6"/>
    <w:rsid w:val="622AABDB"/>
    <w:rsid w:val="62C46D4C"/>
    <w:rsid w:val="62D23EA6"/>
    <w:rsid w:val="6319E72E"/>
    <w:rsid w:val="631ACCD1"/>
    <w:rsid w:val="6336B76C"/>
    <w:rsid w:val="63450CDE"/>
    <w:rsid w:val="635E2F32"/>
    <w:rsid w:val="637A8A4C"/>
    <w:rsid w:val="638DDAD0"/>
    <w:rsid w:val="63967109"/>
    <w:rsid w:val="63D3643B"/>
    <w:rsid w:val="63E59252"/>
    <w:rsid w:val="643708A0"/>
    <w:rsid w:val="6469E30B"/>
    <w:rsid w:val="64B69D32"/>
    <w:rsid w:val="64BD2828"/>
    <w:rsid w:val="65184F00"/>
    <w:rsid w:val="657BD323"/>
    <w:rsid w:val="65C45101"/>
    <w:rsid w:val="66008B82"/>
    <w:rsid w:val="6612309A"/>
    <w:rsid w:val="662F0737"/>
    <w:rsid w:val="6657FC6A"/>
    <w:rsid w:val="666E582E"/>
    <w:rsid w:val="668611E5"/>
    <w:rsid w:val="669BC7EF"/>
    <w:rsid w:val="66C7BB34"/>
    <w:rsid w:val="680D02E4"/>
    <w:rsid w:val="6823A04C"/>
    <w:rsid w:val="682F9DA7"/>
    <w:rsid w:val="684276F3"/>
    <w:rsid w:val="6851549F"/>
    <w:rsid w:val="68CD9EDF"/>
    <w:rsid w:val="68D90131"/>
    <w:rsid w:val="69DEE9F8"/>
    <w:rsid w:val="69F453A4"/>
    <w:rsid w:val="6A38A7B4"/>
    <w:rsid w:val="6AAFF3A7"/>
    <w:rsid w:val="6AFA1BB7"/>
    <w:rsid w:val="6BD6656C"/>
    <w:rsid w:val="6C48E7A9"/>
    <w:rsid w:val="6C5B42E2"/>
    <w:rsid w:val="6C7D7394"/>
    <w:rsid w:val="6CB7BF7C"/>
    <w:rsid w:val="6CD846EF"/>
    <w:rsid w:val="6D1CB51B"/>
    <w:rsid w:val="6D3C92D5"/>
    <w:rsid w:val="6DDD577A"/>
    <w:rsid w:val="6E17F623"/>
    <w:rsid w:val="6E54FAA6"/>
    <w:rsid w:val="6E714E5A"/>
    <w:rsid w:val="6EB38E17"/>
    <w:rsid w:val="6ED6A1BE"/>
    <w:rsid w:val="6ED9CC10"/>
    <w:rsid w:val="6EDAB7BC"/>
    <w:rsid w:val="6F13E7E0"/>
    <w:rsid w:val="6F17D008"/>
    <w:rsid w:val="6F83FE7A"/>
    <w:rsid w:val="704A6CCB"/>
    <w:rsid w:val="706DC58A"/>
    <w:rsid w:val="709257E9"/>
    <w:rsid w:val="70B2449D"/>
    <w:rsid w:val="70BE5D67"/>
    <w:rsid w:val="70EDF809"/>
    <w:rsid w:val="70F10374"/>
    <w:rsid w:val="7132D23A"/>
    <w:rsid w:val="713BE73A"/>
    <w:rsid w:val="713C3BA0"/>
    <w:rsid w:val="71576A91"/>
    <w:rsid w:val="718BB718"/>
    <w:rsid w:val="71F0263E"/>
    <w:rsid w:val="72016115"/>
    <w:rsid w:val="72032846"/>
    <w:rsid w:val="727B5535"/>
    <w:rsid w:val="72837EB3"/>
    <w:rsid w:val="72BA0EAD"/>
    <w:rsid w:val="72E8A0A8"/>
    <w:rsid w:val="72EEC6CB"/>
    <w:rsid w:val="72FE0669"/>
    <w:rsid w:val="73399BA2"/>
    <w:rsid w:val="73781BD3"/>
    <w:rsid w:val="738BF69F"/>
    <w:rsid w:val="73A05487"/>
    <w:rsid w:val="73B7C12B"/>
    <w:rsid w:val="73E9E55F"/>
    <w:rsid w:val="73FA988F"/>
    <w:rsid w:val="742F1852"/>
    <w:rsid w:val="746B48AC"/>
    <w:rsid w:val="7499C44C"/>
    <w:rsid w:val="7508F894"/>
    <w:rsid w:val="75BE7F58"/>
    <w:rsid w:val="7609E2D8"/>
    <w:rsid w:val="760BA572"/>
    <w:rsid w:val="7655F8E4"/>
    <w:rsid w:val="768A3CEE"/>
    <w:rsid w:val="769266E2"/>
    <w:rsid w:val="76B11352"/>
    <w:rsid w:val="76E5F477"/>
    <w:rsid w:val="7704930A"/>
    <w:rsid w:val="77218621"/>
    <w:rsid w:val="77708599"/>
    <w:rsid w:val="7795D115"/>
    <w:rsid w:val="77B4B216"/>
    <w:rsid w:val="77C779D1"/>
    <w:rsid w:val="77D36D13"/>
    <w:rsid w:val="7806F0A5"/>
    <w:rsid w:val="7819CAA6"/>
    <w:rsid w:val="785F67C2"/>
    <w:rsid w:val="786C3DC6"/>
    <w:rsid w:val="78916B13"/>
    <w:rsid w:val="797D7EBF"/>
    <w:rsid w:val="79F17E8E"/>
    <w:rsid w:val="7A253779"/>
    <w:rsid w:val="7A45A4F6"/>
    <w:rsid w:val="7A7FF211"/>
    <w:rsid w:val="7ABCD35E"/>
    <w:rsid w:val="7AC42B9E"/>
    <w:rsid w:val="7B1041AA"/>
    <w:rsid w:val="7B970884"/>
    <w:rsid w:val="7BB44625"/>
    <w:rsid w:val="7BB6EF45"/>
    <w:rsid w:val="7BE28169"/>
    <w:rsid w:val="7BEEA801"/>
    <w:rsid w:val="7C1C04CF"/>
    <w:rsid w:val="7C4C14B5"/>
    <w:rsid w:val="7C7D2B19"/>
    <w:rsid w:val="7CA47B9C"/>
    <w:rsid w:val="7CC37574"/>
    <w:rsid w:val="7CE3943A"/>
    <w:rsid w:val="7CEC0552"/>
    <w:rsid w:val="7D377E7A"/>
    <w:rsid w:val="7D5F67F1"/>
    <w:rsid w:val="7D9D167A"/>
    <w:rsid w:val="7DBCB713"/>
    <w:rsid w:val="7DE84937"/>
    <w:rsid w:val="7DFDD64D"/>
    <w:rsid w:val="7E054CC7"/>
    <w:rsid w:val="7E1A4193"/>
    <w:rsid w:val="7E2C8955"/>
    <w:rsid w:val="7E483888"/>
    <w:rsid w:val="7E5887B9"/>
    <w:rsid w:val="7E9AD10C"/>
    <w:rsid w:val="7EACAA4D"/>
    <w:rsid w:val="7ED696CC"/>
    <w:rsid w:val="7F519708"/>
    <w:rsid w:val="7F6A3353"/>
    <w:rsid w:val="7F791197"/>
    <w:rsid w:val="7F9CC07C"/>
    <w:rsid w:val="7FAFB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28A6"/>
  <w15:docId w15:val="{09E50D29-DE55-41A1-9EC5-7886E638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247" w:lineRule="auto"/>
      <w:ind w:left="24" w:right="65" w:hanging="10"/>
      <w:jc w:val="both"/>
    </w:pPr>
    <w:rPr>
      <w:rFonts w:ascii="Tahoma" w:eastAsia="Tahoma" w:hAnsi="Tahoma" w:cs="Tahoma"/>
      <w:color w:val="000000"/>
      <w:sz w:val="20"/>
    </w:rPr>
  </w:style>
  <w:style w:type="paragraph" w:styleId="Heading1">
    <w:name w:val="heading 1"/>
    <w:basedOn w:val="Normal"/>
    <w:next w:val="Normal"/>
    <w:link w:val="Heading1Char"/>
    <w:uiPriority w:val="9"/>
    <w:qFormat/>
    <w:rsid w:val="00323916"/>
    <w:pPr>
      <w:spacing w:after="120" w:line="240" w:lineRule="auto"/>
      <w:ind w:left="11" w:right="0" w:firstLine="0"/>
      <w:jc w:val="left"/>
      <w:outlineLvl w:val="0"/>
    </w:pPr>
    <w:rPr>
      <w:rFonts w:asciiTheme="minorHAnsi" w:hAnsiTheme="minorHAnsi" w:cstheme="minorHAnsi"/>
      <w:b/>
      <w:color w:val="auto"/>
      <w:sz w:val="24"/>
      <w:szCs w:val="24"/>
    </w:rPr>
  </w:style>
  <w:style w:type="paragraph" w:styleId="Heading2">
    <w:name w:val="heading 2"/>
    <w:basedOn w:val="Normal"/>
    <w:next w:val="Normal"/>
    <w:link w:val="Heading2Char"/>
    <w:uiPriority w:val="9"/>
    <w:unhideWhenUsed/>
    <w:qFormat/>
    <w:rsid w:val="000D3411"/>
    <w:pPr>
      <w:spacing w:after="106" w:line="251" w:lineRule="auto"/>
      <w:ind w:left="720" w:right="0" w:firstLine="0"/>
      <w:jc w:val="left"/>
      <w:outlineLvl w:val="1"/>
    </w:pPr>
    <w:rPr>
      <w:rFonts w:asciiTheme="minorHAnsi" w:hAnsiTheme="minorHAnsi" w:cstheme="minorBidi"/>
      <w:b/>
      <w:color w:val="auto"/>
      <w:sz w:val="22"/>
    </w:rPr>
  </w:style>
  <w:style w:type="paragraph" w:styleId="Heading3">
    <w:name w:val="heading 3"/>
    <w:basedOn w:val="Heading2"/>
    <w:next w:val="Normal"/>
    <w:link w:val="Heading3Char"/>
    <w:uiPriority w:val="9"/>
    <w:unhideWhenUsed/>
    <w:qFormat/>
    <w:rsid w:val="00961F16"/>
    <w:pPr>
      <w:ind w:left="1080" w:hanging="360"/>
      <w:outlineLvl w:val="2"/>
    </w:pPr>
  </w:style>
  <w:style w:type="paragraph" w:styleId="Heading4">
    <w:name w:val="heading 4"/>
    <w:basedOn w:val="Heading3"/>
    <w:next w:val="Normal"/>
    <w:link w:val="Heading4Char"/>
    <w:uiPriority w:val="9"/>
    <w:unhideWhenUsed/>
    <w:qFormat/>
    <w:rsid w:val="003E5A4B"/>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6" w:lineRule="auto"/>
      <w:ind w:left="14"/>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uiPriority w:val="9"/>
    <w:rsid w:val="003E5A4B"/>
    <w:rPr>
      <w:rFonts w:eastAsia="Tahoma"/>
      <w:b/>
      <w:i/>
      <w:iCs/>
    </w:rPr>
  </w:style>
  <w:style w:type="character" w:customStyle="1" w:styleId="Heading3Char">
    <w:name w:val="Heading 3 Char"/>
    <w:link w:val="Heading3"/>
    <w:uiPriority w:val="9"/>
    <w:rsid w:val="00961F16"/>
    <w:rPr>
      <w:rFonts w:eastAsia="Tahoma"/>
      <w:b/>
    </w:rPr>
  </w:style>
  <w:style w:type="character" w:customStyle="1" w:styleId="Heading1Char">
    <w:name w:val="Heading 1 Char"/>
    <w:link w:val="Heading1"/>
    <w:uiPriority w:val="9"/>
    <w:rsid w:val="00323916"/>
    <w:rPr>
      <w:rFonts w:eastAsia="Tahoma" w:cstheme="minorHAnsi"/>
      <w:b/>
      <w:sz w:val="24"/>
      <w:szCs w:val="24"/>
    </w:rPr>
  </w:style>
  <w:style w:type="character" w:customStyle="1" w:styleId="Heading2Char">
    <w:name w:val="Heading 2 Char"/>
    <w:link w:val="Heading2"/>
    <w:uiPriority w:val="9"/>
    <w:rsid w:val="000D3411"/>
    <w:rPr>
      <w:rFonts w:eastAsia="Tahoma"/>
      <w:b/>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9689D"/>
    <w:pPr>
      <w:ind w:left="720"/>
      <w:contextualSpacing/>
    </w:pPr>
  </w:style>
  <w:style w:type="character" w:styleId="CommentReference">
    <w:name w:val="annotation reference"/>
    <w:basedOn w:val="DefaultParagraphFont"/>
    <w:uiPriority w:val="99"/>
    <w:semiHidden/>
    <w:unhideWhenUsed/>
    <w:rsid w:val="00F167ED"/>
    <w:rPr>
      <w:sz w:val="16"/>
      <w:szCs w:val="16"/>
    </w:rPr>
  </w:style>
  <w:style w:type="paragraph" w:styleId="CommentText">
    <w:name w:val="annotation text"/>
    <w:basedOn w:val="Normal"/>
    <w:link w:val="CommentTextChar"/>
    <w:uiPriority w:val="99"/>
    <w:unhideWhenUsed/>
    <w:rsid w:val="00F167ED"/>
    <w:pPr>
      <w:spacing w:line="240" w:lineRule="auto"/>
    </w:pPr>
    <w:rPr>
      <w:szCs w:val="20"/>
    </w:rPr>
  </w:style>
  <w:style w:type="character" w:customStyle="1" w:styleId="CommentTextChar">
    <w:name w:val="Comment Text Char"/>
    <w:basedOn w:val="DefaultParagraphFont"/>
    <w:link w:val="CommentText"/>
    <w:uiPriority w:val="99"/>
    <w:rsid w:val="00F167ED"/>
    <w:rPr>
      <w:rFonts w:ascii="Tahoma" w:eastAsia="Tahoma" w:hAnsi="Tahoma" w:cs="Tahoma"/>
      <w:color w:val="000000"/>
      <w:sz w:val="20"/>
      <w:szCs w:val="20"/>
    </w:rPr>
  </w:style>
  <w:style w:type="paragraph" w:styleId="CommentSubject">
    <w:name w:val="annotation subject"/>
    <w:basedOn w:val="CommentText"/>
    <w:next w:val="CommentText"/>
    <w:link w:val="CommentSubjectChar"/>
    <w:uiPriority w:val="99"/>
    <w:semiHidden/>
    <w:unhideWhenUsed/>
    <w:rsid w:val="00F167ED"/>
    <w:rPr>
      <w:b/>
      <w:bCs/>
    </w:rPr>
  </w:style>
  <w:style w:type="character" w:customStyle="1" w:styleId="CommentSubjectChar">
    <w:name w:val="Comment Subject Char"/>
    <w:basedOn w:val="CommentTextChar"/>
    <w:link w:val="CommentSubject"/>
    <w:uiPriority w:val="99"/>
    <w:semiHidden/>
    <w:rsid w:val="00F167ED"/>
    <w:rPr>
      <w:rFonts w:ascii="Tahoma" w:eastAsia="Tahoma" w:hAnsi="Tahoma" w:cs="Tahoma"/>
      <w:b/>
      <w:bCs/>
      <w:color w:val="000000"/>
      <w:sz w:val="20"/>
      <w:szCs w:val="20"/>
    </w:rPr>
  </w:style>
  <w:style w:type="paragraph" w:styleId="BalloonText">
    <w:name w:val="Balloon Text"/>
    <w:basedOn w:val="Normal"/>
    <w:link w:val="BalloonTextChar"/>
    <w:uiPriority w:val="99"/>
    <w:semiHidden/>
    <w:unhideWhenUsed/>
    <w:rsid w:val="00F16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7ED"/>
    <w:rPr>
      <w:rFonts w:ascii="Segoe UI" w:eastAsia="Tahoma" w:hAnsi="Segoe UI" w:cs="Segoe UI"/>
      <w:color w:val="000000"/>
      <w:sz w:val="18"/>
      <w:szCs w:val="18"/>
    </w:rPr>
  </w:style>
  <w:style w:type="paragraph" w:styleId="PlainText">
    <w:name w:val="Plain Text"/>
    <w:basedOn w:val="Normal"/>
    <w:link w:val="PlainTextChar"/>
    <w:uiPriority w:val="99"/>
    <w:semiHidden/>
    <w:unhideWhenUsed/>
    <w:rsid w:val="003A7E35"/>
    <w:pPr>
      <w:spacing w:after="0" w:line="240" w:lineRule="auto"/>
      <w:ind w:left="0" w:right="0" w:firstLine="0"/>
      <w:jc w:val="left"/>
    </w:pPr>
    <w:rPr>
      <w:rFonts w:ascii="Calibri" w:eastAsiaTheme="minorHAnsi" w:hAnsi="Calibri" w:cs="Calibri"/>
      <w:color w:val="auto"/>
      <w:sz w:val="22"/>
      <w:lang w:eastAsia="en-US"/>
    </w:rPr>
  </w:style>
  <w:style w:type="character" w:customStyle="1" w:styleId="PlainTextChar">
    <w:name w:val="Plain Text Char"/>
    <w:basedOn w:val="DefaultParagraphFont"/>
    <w:link w:val="PlainText"/>
    <w:uiPriority w:val="99"/>
    <w:semiHidden/>
    <w:rsid w:val="003A7E35"/>
    <w:rPr>
      <w:rFonts w:ascii="Calibri" w:eastAsiaTheme="minorHAnsi" w:hAnsi="Calibri" w:cs="Calibri"/>
      <w:lang w:eastAsia="en-US"/>
    </w:rPr>
  </w:style>
  <w:style w:type="character" w:styleId="Hyperlink">
    <w:name w:val="Hyperlink"/>
    <w:basedOn w:val="DefaultParagraphFont"/>
    <w:uiPriority w:val="99"/>
    <w:unhideWhenUsed/>
    <w:rsid w:val="00B07E67"/>
    <w:rPr>
      <w:color w:val="0000FF" w:themeColor="hyperlink"/>
      <w:u w:val="single"/>
    </w:rPr>
  </w:style>
  <w:style w:type="character" w:styleId="UnresolvedMention">
    <w:name w:val="Unresolved Mention"/>
    <w:basedOn w:val="DefaultParagraphFont"/>
    <w:uiPriority w:val="99"/>
    <w:semiHidden/>
    <w:unhideWhenUsed/>
    <w:rsid w:val="00B07E67"/>
    <w:rPr>
      <w:color w:val="605E5C"/>
      <w:shd w:val="clear" w:color="auto" w:fill="E1DFDD"/>
    </w:rPr>
  </w:style>
  <w:style w:type="paragraph" w:styleId="Footer">
    <w:name w:val="footer"/>
    <w:basedOn w:val="Normal"/>
    <w:link w:val="FooterChar"/>
    <w:uiPriority w:val="99"/>
    <w:unhideWhenUsed/>
    <w:rsid w:val="004A47E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A47E4"/>
    <w:rPr>
      <w:rFonts w:cs="Times New Roman"/>
      <w:lang w:val="en-US" w:eastAsia="en-US"/>
    </w:rPr>
  </w:style>
  <w:style w:type="character" w:styleId="FollowedHyperlink">
    <w:name w:val="FollowedHyperlink"/>
    <w:basedOn w:val="DefaultParagraphFont"/>
    <w:uiPriority w:val="99"/>
    <w:semiHidden/>
    <w:unhideWhenUsed/>
    <w:rsid w:val="0004249F"/>
    <w:rPr>
      <w:color w:val="800080" w:themeColor="followedHyperlink"/>
      <w:u w:val="single"/>
    </w:rPr>
  </w:style>
  <w:style w:type="paragraph" w:styleId="Header">
    <w:name w:val="header"/>
    <w:basedOn w:val="Normal"/>
    <w:link w:val="HeaderChar"/>
    <w:uiPriority w:val="99"/>
    <w:semiHidden/>
    <w:unhideWhenUsed/>
    <w:rsid w:val="008767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671F"/>
    <w:rPr>
      <w:rFonts w:ascii="Tahoma" w:eastAsia="Tahoma" w:hAnsi="Tahoma" w:cs="Tahoma"/>
      <w:color w:val="000000"/>
      <w:sz w:val="20"/>
    </w:rPr>
  </w:style>
  <w:style w:type="paragraph" w:styleId="Revision">
    <w:name w:val="Revision"/>
    <w:hidden/>
    <w:uiPriority w:val="99"/>
    <w:semiHidden/>
    <w:rsid w:val="006D1EA6"/>
    <w:pPr>
      <w:spacing w:after="0" w:line="240" w:lineRule="auto"/>
    </w:pPr>
    <w:rPr>
      <w:rFonts w:ascii="Tahoma" w:eastAsia="Tahoma" w:hAnsi="Tahoma" w:cs="Tahoma"/>
      <w:color w:val="000000"/>
      <w:sz w:val="20"/>
    </w:rPr>
  </w:style>
  <w:style w:type="character" w:styleId="Mention">
    <w:name w:val="Mention"/>
    <w:basedOn w:val="DefaultParagraphFont"/>
    <w:uiPriority w:val="99"/>
    <w:unhideWhenUsed/>
    <w:rsid w:val="00EF07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beckett.ac.uk/UPopen_research" TargetMode="External"/><Relationship Id="rId18" Type="http://schemas.openxmlformats.org/officeDocument/2006/relationships/hyperlink" Target="https://www.legislation.gov.uk/ukpga/2018/12/section/204/enacted" TargetMode="External"/><Relationship Id="rId26" Type="http://schemas.openxmlformats.org/officeDocument/2006/relationships/hyperlink" Target="mailto:ResearchInfoandGovernance@leedsbeckett.ac.uk" TargetMode="External"/><Relationship Id="rId39" Type="http://schemas.openxmlformats.org/officeDocument/2006/relationships/hyperlink" Target="https://www.leedsbeckett.ac.uk/-/media/files/policies/information-governance/upig_research_participant_privacy_notice.pdf" TargetMode="External"/><Relationship Id="rId3" Type="http://schemas.openxmlformats.org/officeDocument/2006/relationships/customXml" Target="../customXml/item3.xml"/><Relationship Id="rId21" Type="http://schemas.openxmlformats.org/officeDocument/2006/relationships/hyperlink" Target="mailto:legal@leedsbeckett.ac.uk" TargetMode="External"/><Relationship Id="rId34" Type="http://schemas.openxmlformats.org/officeDocument/2006/relationships/hyperlink" Target="https://www.leedsbeckett.ac.uk/UPopen_research"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edsbeckett.ac.uk/-/media/files/research/research-integrity/policy--procedures-for-investigating-allegations-of-misconduct-in-research.pdf" TargetMode="External"/><Relationship Id="rId17" Type="http://schemas.openxmlformats.org/officeDocument/2006/relationships/hyperlink" Target="https://ico.org.uk/for-organisations/guide-to-data-protection/guide-to-the-general-data-protection-regulation-gdpr/legitimate-interests/how-do-we-apply-legitimate-interests-in-practice/" TargetMode="External"/><Relationship Id="rId25" Type="http://schemas.openxmlformats.org/officeDocument/2006/relationships/hyperlink" Target="https://libguides.leedsbeckett.ac.uk/research_support" TargetMode="External"/><Relationship Id="rId33" Type="http://schemas.openxmlformats.org/officeDocument/2006/relationships/hyperlink" Target="https://eur02.safelinks.protection.outlook.com/?url=https%3A%2F%2Fwww.ukri.org%2Fabout-us%2Fpolicies-standards-and-data%2Fgdpr-and-research-an-overview-for-researchers%2F&amp;data=05%7C01%7CT.Conkar%40leedsbeckett.ac.uk%7C1606f99750f14371bcc508da5b383c9d%7Cd79a81124fbe417aa112cd0fb490d85c%7C0%7C0%7C637922594336754826%7CUnknown%7CTWFpbGZsb3d8eyJWIjoiMC4wLjAwMDAiLCJQIjoiV2luMzIiLCJBTiI6Ik1haWwiLCJXVCI6Mn0%3D%7C3000%7C%7C%7C&amp;sdata=uffPsicDuQjWxgj%2FXl%2Fe4MgyWoQij5MZaWynlDoOYqU%3D&amp;reserved=0" TargetMode="External"/><Relationship Id="rId38" Type="http://schemas.openxmlformats.org/officeDocument/2006/relationships/hyperlink" Target="https://libguides.leedsbeckett.ac.uk/research_support/topics/research_data"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edsbeckett.ac.uk/research/research-and-information-governance/" TargetMode="External"/><Relationship Id="rId20" Type="http://schemas.openxmlformats.org/officeDocument/2006/relationships/hyperlink" Target="https://www.hra.nhs.uk/planning-and-improving-research/best-practice/informing-participants-and-seeking-consent/" TargetMode="External"/><Relationship Id="rId29" Type="http://schemas.openxmlformats.org/officeDocument/2006/relationships/hyperlink" Target="https://www.jisc.ac.uk/gdp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service-manual/user-research/managing-user-research-data-participant-privacy" TargetMode="External"/><Relationship Id="rId24" Type="http://schemas.openxmlformats.org/officeDocument/2006/relationships/hyperlink" Target="mailto:openaccess@leedsbeckett.ac.uk" TargetMode="External"/><Relationship Id="rId32" Type="http://schemas.openxmlformats.org/officeDocument/2006/relationships/hyperlink" Target="https://eur02.safelinks.protection.outlook.com/?url=https%3A%2F%2Fukdataservice.ac.uk%2Flearning-hub%2Fresearch-data-management%2Fdata-protection%2Fdata-protection-legislation%2Fdata-protection-act-and-gdpr%2F&amp;data=05%7C01%7CT.Conkar%40leedsbeckett.ac.uk%7C1606f99750f14371bcc508da5b383c9d%7Cd79a81124fbe417aa112cd0fb490d85c%7C0%7C0%7C637922594336754826%7CUnknown%7CTWFpbGZsb3d8eyJWIjoiMC4wLjAwMDAiLCJQIjoiV2luMzIiLCJBTiI6Ik1haWwiLCJXVCI6Mn0%3D%7C3000%7C%7C%7C&amp;sdata=HYU9yiTI582lWPGuCG9RlmKUq7KY44ROTJzi%2B3F8qWE%3D&amp;reserved=0" TargetMode="External"/><Relationship Id="rId37" Type="http://schemas.openxmlformats.org/officeDocument/2006/relationships/hyperlink" Target="https://dmeg.cessda.eu/Data-Management-Expert-Guide/5.-Protect/Processing-personal-data" TargetMode="External"/><Relationship Id="rId40" Type="http://schemas.openxmlformats.org/officeDocument/2006/relationships/hyperlink" Target="https://www.leedsbeckett.ac.uk/our-university/public-information/university-policies/"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libguides.leedsbeckett.ac.uk/research_support/topics/research_data" TargetMode="External"/><Relationship Id="rId23" Type="http://schemas.openxmlformats.org/officeDocument/2006/relationships/hyperlink" Target="mailto:rdm@leedsbeckett.ac.uk" TargetMode="External"/><Relationship Id="rId28" Type="http://schemas.openxmlformats.org/officeDocument/2006/relationships/hyperlink" Target="https://ico.org.uk/for-organisations/guide-to-data-protection/guide-to-the-general-data-protection-regulation-gdpr/" TargetMode="External"/><Relationship Id="rId36" Type="http://schemas.openxmlformats.org/officeDocument/2006/relationships/hyperlink" Target="https://libguides.leedsbeckett.ac.uk/research_support/topics/research_data" TargetMode="External"/><Relationship Id="rId10" Type="http://schemas.openxmlformats.org/officeDocument/2006/relationships/endnotes" Target="endnotes.xml"/><Relationship Id="rId19" Type="http://schemas.openxmlformats.org/officeDocument/2006/relationships/hyperlink" Target="https://ukdataservice.ac.uk/learning-hub/research-data-management/ethical-issues/consent-for-data-sharing/" TargetMode="External"/><Relationship Id="rId31" Type="http://schemas.openxmlformats.org/officeDocument/2006/relationships/hyperlink" Target="https://eur02.safelinks.protection.outlook.com/?url=https%3A%2F%2Fwww.hra.nhs.uk%2Fplanning-and-improving-research%2Fpolicies-standards-legislation%2Fdata-protection-and-information-governance%2Fgdpr-guidance%2F&amp;data=05%7C01%7CT.Conkar%40leedsbeckett.ac.uk%7C1606f99750f14371bcc508da5b383c9d%7Cd79a81124fbe417aa112cd0fb490d85c%7C0%7C0%7C637922594336754826%7CUnknown%7CTWFpbGZsb3d8eyJWIjoiMC4wLjAwMDAiLCJQIjoiV2luMzIiLCJBTiI6Ik1haWwiLCJXVCI6Mn0%3D%7C3000%7C%7C%7C&amp;sdata=QASIWSEUWT7ufkipc1qUG9TFYwg%2B35rts9epSoPAqgo%3D&amp;reserved=0"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guides.leedsbeckett.ac.uk/research_support/research_data/data_management_plans" TargetMode="External"/><Relationship Id="rId22" Type="http://schemas.openxmlformats.org/officeDocument/2006/relationships/hyperlink" Target="mailto:infocompliance@leedsbeckett.ac.uk" TargetMode="External"/><Relationship Id="rId27" Type="http://schemas.openxmlformats.org/officeDocument/2006/relationships/hyperlink" Target="https://ukrio.org/research-integrity-resources/general-data-protection-regulation-and-research-integrity/" TargetMode="External"/><Relationship Id="rId30" Type="http://schemas.openxmlformats.org/officeDocument/2006/relationships/hyperlink" Target="https://eur02.safelinks.protection.outlook.com/?url=https%3A%2F%2Fwww.gov.uk%2Fservice-manual%2Fuser-research%2Fmanaging-user-research-data-participant-privacy&amp;data=05%7C01%7CT.Conkar%40leedsbeckett.ac.uk%7C1606f99750f14371bcc508da5b383c9d%7Cd79a81124fbe417aa112cd0fb490d85c%7C0%7C0%7C637922594336754826%7CUnknown%7CTWFpbGZsb3d8eyJWIjoiMC4wLjAwMDAiLCJQIjoiV2luMzIiLCJBTiI6Ik1haWwiLCJXVCI6Mn0%3D%7C3000%7C%7C%7C&amp;sdata=64wGiI6eWTxBdxmZk2WK7EmhTFBqU8FkNOwvRaFDFsA%3D&amp;reserved=0" TargetMode="External"/><Relationship Id="rId35" Type="http://schemas.openxmlformats.org/officeDocument/2006/relationships/hyperlink" Target="https://libguides.leedsbeckett.ac.uk/research_support/research_data/data_management_plans"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DA833FD93A340B20086368502CE94" ma:contentTypeVersion="9" ma:contentTypeDescription="Create a new document." ma:contentTypeScope="" ma:versionID="77672dde26bc3796dab6b2d05a53bece">
  <xsd:schema xmlns:xsd="http://www.w3.org/2001/XMLSchema" xmlns:xs="http://www.w3.org/2001/XMLSchema" xmlns:p="http://schemas.microsoft.com/office/2006/metadata/properties" xmlns:ns3="614c80ad-b798-45db-bad8-100122dc5ef7" targetNamespace="http://schemas.microsoft.com/office/2006/metadata/properties" ma:root="true" ma:fieldsID="ba796c370aec041f0f029ccc110bdeb7" ns3:_="">
    <xsd:import namespace="614c80ad-b798-45db-bad8-100122dc5e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c80ad-b798-45db-bad8-100122dc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D66F-8736-428E-9C0D-D1A1D428A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c80ad-b798-45db-bad8-100122dc5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69288-C2B5-4641-83E7-251FEFF7FFDC}">
  <ds:schemaRefs>
    <ds:schemaRef ds:uri="http://schemas.microsoft.com/sharepoint/v3/contenttype/forms"/>
  </ds:schemaRefs>
</ds:datastoreItem>
</file>

<file path=customXml/itemProps3.xml><?xml version="1.0" encoding="utf-8"?>
<ds:datastoreItem xmlns:ds="http://schemas.openxmlformats.org/officeDocument/2006/customXml" ds:itemID="{C0CC7796-37AE-45BE-9BE7-A9FB394F99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C7D3CD-0FED-4591-9B4B-E5D05929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9510</Words>
  <Characters>54208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cp:lastModifiedBy>Gladstone, Lorna</cp:lastModifiedBy>
  <cp:revision>3</cp:revision>
  <cp:lastPrinted>2022-10-31T14:29:00Z</cp:lastPrinted>
  <dcterms:created xsi:type="dcterms:W3CDTF">2022-11-23T15:25:00Z</dcterms:created>
  <dcterms:modified xsi:type="dcterms:W3CDTF">2022-11-23T15:55:00Z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0x010100CAADA833FD93A340B20086368502CE94</vt:lpwstr>
  </property>
</Properties>
</file>