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89" w:rsidRDefault="005E5A89" w:rsidP="005E5A89">
      <w:pPr>
        <w:rPr>
          <w:rFonts w:cs="Arial"/>
          <w:b/>
        </w:rPr>
      </w:pPr>
      <w:r>
        <w:rPr>
          <w:rFonts w:cs="Arial"/>
          <w:b/>
        </w:rPr>
        <w:t>CONFIDENTIAL</w:t>
      </w:r>
    </w:p>
    <w:p w:rsidR="005E5A89" w:rsidRDefault="00E97E22" w:rsidP="005E5A89">
      <w:pPr>
        <w:jc w:val="center"/>
        <w:rPr>
          <w:rFonts w:cs="Arial"/>
          <w:b/>
        </w:rPr>
      </w:pPr>
      <w:r>
        <w:rPr>
          <w:rFonts w:cs="Arial"/>
          <w:b/>
        </w:rPr>
        <w:t>LEEDS BECKETT</w:t>
      </w:r>
      <w:r w:rsidR="005E5A89">
        <w:rPr>
          <w:rFonts w:cs="Arial"/>
          <w:b/>
        </w:rPr>
        <w:t xml:space="preserve"> UNIVERSITY</w:t>
      </w:r>
    </w:p>
    <w:p w:rsidR="005E5A89" w:rsidRDefault="005E5A89" w:rsidP="005E5A89">
      <w:pPr>
        <w:jc w:val="center"/>
        <w:rPr>
          <w:b/>
          <w:u w:val="single"/>
        </w:rPr>
      </w:pPr>
      <w:r>
        <w:rPr>
          <w:b/>
          <w:u w:val="single"/>
        </w:rPr>
        <w:t>EXAMINER’S PRELIMINARY ASSESSMENT REPORT FORM – MASTER OF PHILOSOPHY</w:t>
      </w:r>
    </w:p>
    <w:p w:rsidR="00DE26A6" w:rsidRDefault="00643C9C">
      <w:r w:rsidRPr="00643C9C">
        <w:rPr>
          <w:b/>
        </w:rPr>
        <w:t>Notes:</w:t>
      </w:r>
      <w:r>
        <w:t xml:space="preserve"> </w:t>
      </w:r>
      <w:r w:rsidR="00DE26A6">
        <w:t>The details contained within this report are a preliminary assessment of the academic standard of the work. It does not have the status of a final decision; does not constitute part of the retained examination documentation and is confidential between the examiners.</w:t>
      </w:r>
    </w:p>
    <w:p w:rsidR="00643C9C" w:rsidRDefault="00643C9C" w:rsidP="00643C9C">
      <w:r>
        <w:t xml:space="preserve">This form should be </w:t>
      </w:r>
      <w:r w:rsidR="00380FB9">
        <w:t>typed.</w:t>
      </w:r>
    </w:p>
    <w:p w:rsidR="00643C9C" w:rsidRDefault="00643C9C"/>
    <w:p w:rsidR="00DE26A6" w:rsidRPr="00643C9C" w:rsidRDefault="00643C9C">
      <w:pPr>
        <w:rPr>
          <w:b/>
        </w:rPr>
      </w:pPr>
      <w:r>
        <w:rPr>
          <w:b/>
        </w:rPr>
        <w:t xml:space="preserve">Section 1: </w:t>
      </w:r>
      <w:r w:rsidR="00DE26A6" w:rsidRPr="00643C9C">
        <w:rPr>
          <w:b/>
        </w:rPr>
        <w:t>Candidate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669"/>
      </w:tblGrid>
      <w:tr w:rsidR="00DE26A6" w:rsidRPr="00333623" w:rsidTr="00944DDD">
        <w:tc>
          <w:tcPr>
            <w:tcW w:w="2376" w:type="dxa"/>
          </w:tcPr>
          <w:p w:rsidR="00DE26A6" w:rsidRPr="00333623" w:rsidRDefault="00DE26A6" w:rsidP="00944DDD">
            <w:pPr>
              <w:spacing w:after="0" w:line="240" w:lineRule="auto"/>
            </w:pPr>
            <w:r>
              <w:t>Candidate</w:t>
            </w:r>
            <w:r w:rsidRPr="00333623">
              <w:t xml:space="preserve"> Name:</w:t>
            </w:r>
          </w:p>
        </w:tc>
        <w:tc>
          <w:tcPr>
            <w:tcW w:w="6866" w:type="dxa"/>
          </w:tcPr>
          <w:p w:rsidR="00DE26A6" w:rsidRPr="00333623" w:rsidRDefault="00DE26A6" w:rsidP="00944DDD">
            <w:pPr>
              <w:spacing w:after="0" w:line="240" w:lineRule="auto"/>
            </w:pPr>
          </w:p>
        </w:tc>
      </w:tr>
      <w:tr w:rsidR="00DE26A6" w:rsidRPr="00333623" w:rsidTr="00944DDD">
        <w:tc>
          <w:tcPr>
            <w:tcW w:w="2376" w:type="dxa"/>
          </w:tcPr>
          <w:p w:rsidR="00DE26A6" w:rsidRPr="00333623" w:rsidRDefault="00DE26A6" w:rsidP="00944DDD">
            <w:pPr>
              <w:spacing w:after="0" w:line="240" w:lineRule="auto"/>
            </w:pPr>
            <w:r w:rsidRPr="00333623">
              <w:t>ID Number:</w:t>
            </w:r>
          </w:p>
        </w:tc>
        <w:tc>
          <w:tcPr>
            <w:tcW w:w="6866" w:type="dxa"/>
          </w:tcPr>
          <w:p w:rsidR="00DE26A6" w:rsidRPr="00333623" w:rsidRDefault="00DE26A6" w:rsidP="00944DDD">
            <w:pPr>
              <w:spacing w:after="0" w:line="240" w:lineRule="auto"/>
            </w:pPr>
          </w:p>
        </w:tc>
      </w:tr>
      <w:tr w:rsidR="00145AA4" w:rsidRPr="00333623" w:rsidTr="00944DDD">
        <w:tc>
          <w:tcPr>
            <w:tcW w:w="2376" w:type="dxa"/>
          </w:tcPr>
          <w:p w:rsidR="00145AA4" w:rsidRPr="00333623" w:rsidRDefault="00145AA4" w:rsidP="00944DDD">
            <w:pPr>
              <w:spacing w:after="0" w:line="240" w:lineRule="auto"/>
            </w:pPr>
            <w:r>
              <w:t>School:</w:t>
            </w:r>
          </w:p>
        </w:tc>
        <w:tc>
          <w:tcPr>
            <w:tcW w:w="6866" w:type="dxa"/>
          </w:tcPr>
          <w:p w:rsidR="00145AA4" w:rsidRPr="00333623" w:rsidRDefault="00145AA4" w:rsidP="00944DDD">
            <w:pPr>
              <w:spacing w:after="0" w:line="240" w:lineRule="auto"/>
            </w:pPr>
          </w:p>
        </w:tc>
      </w:tr>
      <w:tr w:rsidR="00DE26A6" w:rsidRPr="00333623" w:rsidTr="00944DDD">
        <w:tc>
          <w:tcPr>
            <w:tcW w:w="2376" w:type="dxa"/>
          </w:tcPr>
          <w:p w:rsidR="00DE26A6" w:rsidRPr="00333623" w:rsidRDefault="00DE26A6" w:rsidP="00944DDD">
            <w:pPr>
              <w:spacing w:after="0" w:line="240" w:lineRule="auto"/>
            </w:pPr>
            <w:r w:rsidRPr="00333623">
              <w:t>Title of Thesis:</w:t>
            </w:r>
          </w:p>
        </w:tc>
        <w:tc>
          <w:tcPr>
            <w:tcW w:w="6866" w:type="dxa"/>
          </w:tcPr>
          <w:p w:rsidR="00DE26A6" w:rsidRPr="00333623" w:rsidRDefault="00DE26A6" w:rsidP="00944DDD">
            <w:pPr>
              <w:spacing w:after="0" w:line="240" w:lineRule="auto"/>
            </w:pPr>
          </w:p>
          <w:p w:rsidR="00DE26A6" w:rsidRPr="00333623" w:rsidRDefault="00DE26A6" w:rsidP="00944DDD">
            <w:pPr>
              <w:spacing w:after="0" w:line="240" w:lineRule="auto"/>
            </w:pPr>
          </w:p>
          <w:p w:rsidR="00DE26A6" w:rsidRPr="00333623" w:rsidRDefault="00DE26A6" w:rsidP="00944DDD">
            <w:pPr>
              <w:spacing w:after="0" w:line="240" w:lineRule="auto"/>
            </w:pPr>
          </w:p>
          <w:p w:rsidR="00DE26A6" w:rsidRPr="00333623" w:rsidRDefault="00DE26A6" w:rsidP="00944DDD">
            <w:pPr>
              <w:spacing w:after="0" w:line="240" w:lineRule="auto"/>
            </w:pPr>
          </w:p>
          <w:p w:rsidR="00DE26A6" w:rsidRPr="00333623" w:rsidRDefault="00DE26A6" w:rsidP="00944DDD">
            <w:pPr>
              <w:spacing w:after="0" w:line="240" w:lineRule="auto"/>
            </w:pPr>
          </w:p>
          <w:p w:rsidR="00DE26A6" w:rsidRPr="00333623" w:rsidRDefault="00DE26A6" w:rsidP="00944DDD">
            <w:pPr>
              <w:spacing w:after="0" w:line="240" w:lineRule="auto"/>
            </w:pPr>
          </w:p>
          <w:p w:rsidR="00DE26A6" w:rsidRPr="00333623" w:rsidRDefault="00DE26A6" w:rsidP="00944DDD">
            <w:pPr>
              <w:spacing w:after="0" w:line="240" w:lineRule="auto"/>
            </w:pPr>
          </w:p>
        </w:tc>
      </w:tr>
      <w:tr w:rsidR="00DE26A6" w:rsidRPr="00333623" w:rsidTr="00944DDD">
        <w:tc>
          <w:tcPr>
            <w:tcW w:w="2376" w:type="dxa"/>
          </w:tcPr>
          <w:p w:rsidR="00DE26A6" w:rsidRPr="00333623" w:rsidRDefault="00DE26A6" w:rsidP="00944DDD">
            <w:pPr>
              <w:spacing w:after="0" w:line="240" w:lineRule="auto"/>
            </w:pPr>
            <w:r>
              <w:t>Collaborating Organisation (if appropriate):</w:t>
            </w:r>
          </w:p>
        </w:tc>
        <w:tc>
          <w:tcPr>
            <w:tcW w:w="6866" w:type="dxa"/>
          </w:tcPr>
          <w:p w:rsidR="00DE26A6" w:rsidRPr="00333623" w:rsidRDefault="00DE26A6" w:rsidP="00944DDD">
            <w:pPr>
              <w:spacing w:after="0" w:line="240" w:lineRule="auto"/>
            </w:pPr>
          </w:p>
        </w:tc>
      </w:tr>
      <w:tr w:rsidR="00DE26A6" w:rsidRPr="00333623" w:rsidTr="00944DDD">
        <w:tc>
          <w:tcPr>
            <w:tcW w:w="2376" w:type="dxa"/>
          </w:tcPr>
          <w:p w:rsidR="00DE26A6" w:rsidRPr="00333623" w:rsidRDefault="00DE26A6" w:rsidP="00944DDD">
            <w:pPr>
              <w:spacing w:after="0" w:line="240" w:lineRule="auto"/>
            </w:pPr>
            <w:r>
              <w:t xml:space="preserve">Date of </w:t>
            </w:r>
            <w:r w:rsidR="00D95BE0">
              <w:t>Submission</w:t>
            </w:r>
            <w:r>
              <w:t xml:space="preserve"> of Thesis:</w:t>
            </w:r>
          </w:p>
        </w:tc>
        <w:tc>
          <w:tcPr>
            <w:tcW w:w="6866" w:type="dxa"/>
          </w:tcPr>
          <w:p w:rsidR="00DE26A6" w:rsidRPr="00333623" w:rsidRDefault="00DE26A6" w:rsidP="00944DDD">
            <w:pPr>
              <w:spacing w:after="0" w:line="240" w:lineRule="auto"/>
            </w:pPr>
          </w:p>
        </w:tc>
      </w:tr>
      <w:tr w:rsidR="00DE26A6" w:rsidRPr="00333623" w:rsidTr="00944DDD">
        <w:tc>
          <w:tcPr>
            <w:tcW w:w="2376" w:type="dxa"/>
          </w:tcPr>
          <w:p w:rsidR="00DE26A6" w:rsidRPr="00333623" w:rsidRDefault="00DE26A6" w:rsidP="00944DDD">
            <w:pPr>
              <w:spacing w:after="0" w:line="240" w:lineRule="auto"/>
            </w:pPr>
            <w:r>
              <w:t>Date of Oral Examination:</w:t>
            </w:r>
          </w:p>
        </w:tc>
        <w:tc>
          <w:tcPr>
            <w:tcW w:w="6866" w:type="dxa"/>
          </w:tcPr>
          <w:p w:rsidR="00DE26A6" w:rsidRPr="00333623" w:rsidRDefault="00DE26A6" w:rsidP="00944DDD">
            <w:pPr>
              <w:spacing w:after="0" w:line="240" w:lineRule="auto"/>
            </w:pPr>
          </w:p>
        </w:tc>
      </w:tr>
    </w:tbl>
    <w:p w:rsidR="00DE26A6" w:rsidRDefault="00DE26A6"/>
    <w:p w:rsidR="00DE26A6" w:rsidRPr="00643C9C" w:rsidRDefault="00643C9C">
      <w:pPr>
        <w:rPr>
          <w:b/>
        </w:rPr>
      </w:pPr>
      <w:r w:rsidRPr="00643C9C">
        <w:rPr>
          <w:b/>
        </w:rPr>
        <w:t xml:space="preserve">Section 2: </w:t>
      </w:r>
      <w:r w:rsidR="00DE26A6" w:rsidRPr="00643C9C">
        <w:rPr>
          <w:b/>
        </w:rPr>
        <w:t>Examiner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DE26A6" w:rsidRPr="00333623" w:rsidTr="00944DDD">
        <w:tc>
          <w:tcPr>
            <w:tcW w:w="2376" w:type="dxa"/>
          </w:tcPr>
          <w:p w:rsidR="00DE26A6" w:rsidRPr="00333623" w:rsidRDefault="00DE26A6" w:rsidP="00944DDD">
            <w:pPr>
              <w:spacing w:after="0" w:line="240" w:lineRule="auto"/>
            </w:pPr>
            <w:r>
              <w:t>Name of Examiner:</w:t>
            </w:r>
          </w:p>
        </w:tc>
        <w:tc>
          <w:tcPr>
            <w:tcW w:w="6866" w:type="dxa"/>
          </w:tcPr>
          <w:p w:rsidR="00DE26A6" w:rsidRDefault="00DE26A6" w:rsidP="00944DDD">
            <w:pPr>
              <w:spacing w:after="0" w:line="240" w:lineRule="auto"/>
            </w:pPr>
          </w:p>
          <w:p w:rsidR="00643C9C" w:rsidRDefault="00643C9C" w:rsidP="00944DDD">
            <w:pPr>
              <w:spacing w:after="0" w:line="240" w:lineRule="auto"/>
            </w:pPr>
          </w:p>
          <w:p w:rsidR="00643C9C" w:rsidRPr="00333623" w:rsidRDefault="00643C9C" w:rsidP="00944DDD">
            <w:pPr>
              <w:spacing w:after="0" w:line="240" w:lineRule="auto"/>
            </w:pPr>
          </w:p>
        </w:tc>
      </w:tr>
      <w:tr w:rsidR="00DE26A6" w:rsidRPr="00333623" w:rsidTr="00944DDD">
        <w:tc>
          <w:tcPr>
            <w:tcW w:w="2376" w:type="dxa"/>
          </w:tcPr>
          <w:p w:rsidR="00DE26A6" w:rsidRDefault="00DE26A6" w:rsidP="00380FB9">
            <w:pPr>
              <w:spacing w:after="0" w:line="240" w:lineRule="auto"/>
            </w:pPr>
            <w:r>
              <w:t xml:space="preserve">Organisation (if external to </w:t>
            </w:r>
            <w:r w:rsidR="00380FB9">
              <w:t>u</w:t>
            </w:r>
            <w:r>
              <w:t>niversity):</w:t>
            </w:r>
          </w:p>
        </w:tc>
        <w:tc>
          <w:tcPr>
            <w:tcW w:w="6866" w:type="dxa"/>
          </w:tcPr>
          <w:p w:rsidR="00DE26A6" w:rsidRDefault="00DE26A6" w:rsidP="00944DDD">
            <w:pPr>
              <w:spacing w:after="0" w:line="240" w:lineRule="auto"/>
            </w:pPr>
          </w:p>
          <w:p w:rsidR="00643C9C" w:rsidRDefault="00643C9C" w:rsidP="00944DDD">
            <w:pPr>
              <w:spacing w:after="0" w:line="240" w:lineRule="auto"/>
            </w:pPr>
          </w:p>
          <w:p w:rsidR="00643C9C" w:rsidRDefault="00643C9C" w:rsidP="00944DDD">
            <w:pPr>
              <w:spacing w:after="0" w:line="240" w:lineRule="auto"/>
            </w:pPr>
          </w:p>
          <w:p w:rsidR="00643C9C" w:rsidRPr="00333623" w:rsidRDefault="00643C9C" w:rsidP="00944DDD">
            <w:pPr>
              <w:spacing w:after="0" w:line="240" w:lineRule="auto"/>
            </w:pPr>
          </w:p>
        </w:tc>
      </w:tr>
      <w:tr w:rsidR="00DE26A6" w:rsidRPr="00333623" w:rsidTr="00944DDD">
        <w:tc>
          <w:tcPr>
            <w:tcW w:w="2376" w:type="dxa"/>
          </w:tcPr>
          <w:p w:rsidR="00DE26A6" w:rsidRDefault="003F1D19" w:rsidP="003F1D19">
            <w:pPr>
              <w:spacing w:after="0" w:line="240" w:lineRule="auto"/>
            </w:pPr>
            <w:r>
              <w:t>School</w:t>
            </w:r>
            <w:r w:rsidR="00DE26A6">
              <w:t xml:space="preserve"> (if internal to </w:t>
            </w:r>
            <w:r>
              <w:t>u</w:t>
            </w:r>
            <w:r w:rsidR="00DE26A6">
              <w:t>niversity):</w:t>
            </w:r>
          </w:p>
        </w:tc>
        <w:tc>
          <w:tcPr>
            <w:tcW w:w="6866" w:type="dxa"/>
          </w:tcPr>
          <w:p w:rsidR="00DE26A6" w:rsidRDefault="00DE26A6" w:rsidP="00944DDD">
            <w:pPr>
              <w:spacing w:after="0" w:line="240" w:lineRule="auto"/>
            </w:pPr>
          </w:p>
          <w:p w:rsidR="00643C9C" w:rsidRDefault="00643C9C" w:rsidP="00944DDD">
            <w:pPr>
              <w:spacing w:after="0" w:line="240" w:lineRule="auto"/>
            </w:pPr>
          </w:p>
          <w:p w:rsidR="00643C9C" w:rsidRDefault="00643C9C" w:rsidP="00944DDD">
            <w:pPr>
              <w:spacing w:after="0" w:line="240" w:lineRule="auto"/>
            </w:pPr>
          </w:p>
          <w:p w:rsidR="00643C9C" w:rsidRPr="00333623" w:rsidRDefault="00643C9C" w:rsidP="00944DDD">
            <w:pPr>
              <w:spacing w:after="0" w:line="240" w:lineRule="auto"/>
            </w:pPr>
          </w:p>
        </w:tc>
      </w:tr>
    </w:tbl>
    <w:p w:rsidR="00DE26A6" w:rsidRPr="002418A3" w:rsidRDefault="00643C9C">
      <w:pPr>
        <w:rPr>
          <w:b/>
        </w:rPr>
      </w:pPr>
      <w:r>
        <w:rPr>
          <w:b/>
        </w:rPr>
        <w:br w:type="page"/>
      </w:r>
      <w:r>
        <w:rPr>
          <w:b/>
        </w:rPr>
        <w:lastRenderedPageBreak/>
        <w:t xml:space="preserve">Section 3: </w:t>
      </w:r>
      <w:r w:rsidR="00DE26A6" w:rsidRPr="002418A3">
        <w:rPr>
          <w:b/>
        </w:rPr>
        <w:t>Consideration</w:t>
      </w:r>
    </w:p>
    <w:p w:rsidR="00194457" w:rsidRDefault="00194457"/>
    <w:p w:rsidR="00194457" w:rsidRDefault="00194457">
      <w:r>
        <w:t>In this preliminary Consideration, each examiner should consider:</w:t>
      </w:r>
    </w:p>
    <w:p w:rsidR="00194457" w:rsidRDefault="00194457" w:rsidP="001E43CD">
      <w:pPr>
        <w:pStyle w:val="ListParagraph"/>
        <w:numPr>
          <w:ilvl w:val="0"/>
          <w:numId w:val="6"/>
        </w:numPr>
      </w:pPr>
      <w:r>
        <w:t xml:space="preserve">The academic standard of the thesis, and whether, in your view, it </w:t>
      </w:r>
      <w:r w:rsidR="00217735">
        <w:t>satisfies</w:t>
      </w:r>
      <w:r>
        <w:t xml:space="preserve"> the requirements of the award; and/or</w:t>
      </w:r>
    </w:p>
    <w:p w:rsidR="00194457" w:rsidRDefault="00194457" w:rsidP="001E43CD">
      <w:pPr>
        <w:pStyle w:val="ListParagraph"/>
        <w:numPr>
          <w:ilvl w:val="0"/>
          <w:numId w:val="6"/>
        </w:numPr>
      </w:pPr>
      <w:r>
        <w:t xml:space="preserve">Whether, in your view, any other recommendation might be made in respect of the thesis in line with those permitted within Section </w:t>
      </w:r>
      <w:r w:rsidR="00691131">
        <w:t>11</w:t>
      </w:r>
      <w:r>
        <w:t xml:space="preserve"> of the Academic Principles and Regulations of Leeds </w:t>
      </w:r>
      <w:r w:rsidR="00713133">
        <w:t>Beckett</w:t>
      </w:r>
      <w:r>
        <w:t xml:space="preserve"> University</w:t>
      </w:r>
    </w:p>
    <w:p w:rsidR="00194457" w:rsidRDefault="00194457"/>
    <w:p w:rsidR="00194457" w:rsidRDefault="00643C9C">
      <w:pPr>
        <w:rPr>
          <w:b/>
        </w:rPr>
      </w:pPr>
      <w:r>
        <w:rPr>
          <w:b/>
        </w:rPr>
        <w:t xml:space="preserve">Section 4: </w:t>
      </w:r>
      <w:r w:rsidR="00194457" w:rsidRPr="002418A3">
        <w:rPr>
          <w:b/>
        </w:rPr>
        <w:t>Report of the Examiner on the thesis and any published work submitted</w:t>
      </w:r>
    </w:p>
    <w:p w:rsidR="002418A3" w:rsidRPr="002418A3" w:rsidRDefault="002418A3">
      <w:pPr>
        <w:rPr>
          <w:b/>
        </w:rPr>
      </w:pPr>
    </w:p>
    <w:p w:rsidR="00194457" w:rsidRDefault="00194457">
      <w:r>
        <w:t>As part of your assessment, please consider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1755"/>
        <w:gridCol w:w="1755"/>
      </w:tblGrid>
      <w:tr w:rsidR="003A5ADE" w:rsidRPr="00333623" w:rsidTr="003A5ADE">
        <w:tc>
          <w:tcPr>
            <w:tcW w:w="5637" w:type="dxa"/>
          </w:tcPr>
          <w:p w:rsidR="003A5ADE" w:rsidRDefault="003A5ADE" w:rsidP="00944DDD">
            <w:pPr>
              <w:spacing w:after="0" w:line="240" w:lineRule="auto"/>
            </w:pPr>
            <w:r>
              <w:t>Does the thesis show evidence of sustained independent effort by the candidate?</w:t>
            </w:r>
          </w:p>
        </w:tc>
        <w:tc>
          <w:tcPr>
            <w:tcW w:w="1802" w:type="dxa"/>
          </w:tcPr>
          <w:p w:rsidR="003A5ADE" w:rsidRDefault="003A5ADE" w:rsidP="00944DDD">
            <w:pPr>
              <w:spacing w:after="0" w:line="240" w:lineRule="auto"/>
            </w:pPr>
            <w:r>
              <w:t>YES</w:t>
            </w:r>
          </w:p>
        </w:tc>
        <w:tc>
          <w:tcPr>
            <w:tcW w:w="1803" w:type="dxa"/>
          </w:tcPr>
          <w:p w:rsidR="003A5ADE" w:rsidRDefault="003A5ADE" w:rsidP="00944DDD">
            <w:pPr>
              <w:spacing w:after="0" w:line="240" w:lineRule="auto"/>
            </w:pPr>
            <w:r>
              <w:t>NO</w:t>
            </w:r>
          </w:p>
        </w:tc>
      </w:tr>
      <w:tr w:rsidR="00194457" w:rsidRPr="00333623" w:rsidTr="00944DDD">
        <w:tc>
          <w:tcPr>
            <w:tcW w:w="9242" w:type="dxa"/>
            <w:gridSpan w:val="3"/>
          </w:tcPr>
          <w:p w:rsidR="00194457" w:rsidRPr="00333623" w:rsidRDefault="00944DDD" w:rsidP="00944DDD">
            <w:pPr>
              <w:spacing w:after="0" w:line="240" w:lineRule="auto"/>
            </w:pPr>
            <w:r>
              <w:t>Does the thesis demonstrate</w:t>
            </w:r>
            <w:proofErr w:type="gramStart"/>
            <w:r>
              <w:t>…</w:t>
            </w:r>
            <w:proofErr w:type="gramEnd"/>
          </w:p>
        </w:tc>
      </w:tr>
      <w:tr w:rsidR="00194457" w:rsidRPr="00333623" w:rsidTr="00944DDD">
        <w:trPr>
          <w:trHeight w:val="270"/>
        </w:trPr>
        <w:tc>
          <w:tcPr>
            <w:tcW w:w="5637" w:type="dxa"/>
            <w:vMerge w:val="restart"/>
          </w:tcPr>
          <w:p w:rsidR="00194457" w:rsidRDefault="00944DDD" w:rsidP="00944DDD">
            <w:pPr>
              <w:pStyle w:val="ListParagraph"/>
              <w:numPr>
                <w:ilvl w:val="0"/>
                <w:numId w:val="1"/>
              </w:numPr>
              <w:spacing w:after="0" w:line="240" w:lineRule="auto"/>
              <w:ind w:left="709" w:hanging="283"/>
            </w:pPr>
            <w:r>
              <w:t>Competence in the investigation of the chosen topic(s)</w:t>
            </w:r>
          </w:p>
          <w:p w:rsidR="00944DDD" w:rsidRDefault="00944DDD" w:rsidP="00944DDD">
            <w:pPr>
              <w:pStyle w:val="ListParagraph"/>
              <w:numPr>
                <w:ilvl w:val="0"/>
                <w:numId w:val="1"/>
              </w:numPr>
              <w:spacing w:after="0" w:line="240" w:lineRule="auto"/>
              <w:ind w:left="709" w:hanging="349"/>
            </w:pPr>
            <w:r>
              <w:t>Competence in undertaking a critical study of the chosen topic(s)</w:t>
            </w:r>
          </w:p>
        </w:tc>
        <w:tc>
          <w:tcPr>
            <w:tcW w:w="1802" w:type="dxa"/>
          </w:tcPr>
          <w:p w:rsidR="00194457" w:rsidRDefault="00944DDD" w:rsidP="00944DDD">
            <w:pPr>
              <w:spacing w:after="0" w:line="240" w:lineRule="auto"/>
            </w:pPr>
            <w:r>
              <w:t>YES</w:t>
            </w:r>
          </w:p>
          <w:p w:rsidR="00944DDD" w:rsidRPr="00333623" w:rsidRDefault="00944DDD" w:rsidP="00944DDD">
            <w:pPr>
              <w:spacing w:after="0" w:line="240" w:lineRule="auto"/>
            </w:pPr>
          </w:p>
        </w:tc>
        <w:tc>
          <w:tcPr>
            <w:tcW w:w="1803" w:type="dxa"/>
          </w:tcPr>
          <w:p w:rsidR="00194457" w:rsidRPr="00333623" w:rsidRDefault="00944DDD" w:rsidP="00944DDD">
            <w:pPr>
              <w:spacing w:after="0" w:line="240" w:lineRule="auto"/>
            </w:pPr>
            <w:r>
              <w:t>NO</w:t>
            </w:r>
          </w:p>
        </w:tc>
      </w:tr>
      <w:tr w:rsidR="00194457" w:rsidRPr="00333623" w:rsidTr="00944DDD">
        <w:trPr>
          <w:trHeight w:val="270"/>
        </w:trPr>
        <w:tc>
          <w:tcPr>
            <w:tcW w:w="5637" w:type="dxa"/>
            <w:vMerge/>
          </w:tcPr>
          <w:p w:rsidR="00194457" w:rsidRDefault="00194457" w:rsidP="00944DDD">
            <w:pPr>
              <w:spacing w:after="0" w:line="240" w:lineRule="auto"/>
            </w:pPr>
          </w:p>
        </w:tc>
        <w:tc>
          <w:tcPr>
            <w:tcW w:w="1802" w:type="dxa"/>
          </w:tcPr>
          <w:p w:rsidR="00194457" w:rsidRDefault="00944DDD" w:rsidP="00944DDD">
            <w:pPr>
              <w:spacing w:after="0" w:line="240" w:lineRule="auto"/>
            </w:pPr>
            <w:r>
              <w:t>YES</w:t>
            </w:r>
          </w:p>
        </w:tc>
        <w:tc>
          <w:tcPr>
            <w:tcW w:w="1803" w:type="dxa"/>
          </w:tcPr>
          <w:p w:rsidR="00194457" w:rsidRDefault="00944DDD" w:rsidP="00944DDD">
            <w:pPr>
              <w:spacing w:after="0" w:line="240" w:lineRule="auto"/>
            </w:pPr>
            <w:r>
              <w:t>NO</w:t>
            </w:r>
          </w:p>
        </w:tc>
      </w:tr>
      <w:tr w:rsidR="00194457" w:rsidRPr="00333623" w:rsidTr="00944DDD">
        <w:tc>
          <w:tcPr>
            <w:tcW w:w="5637" w:type="dxa"/>
          </w:tcPr>
          <w:p w:rsidR="00194457" w:rsidRDefault="003A5ADE" w:rsidP="00944DDD">
            <w:pPr>
              <w:spacing w:after="0" w:line="240" w:lineRule="auto"/>
            </w:pPr>
            <w:r>
              <w:t>Is the thesis satisfactory as regards literary presentation and succinctness</w:t>
            </w:r>
          </w:p>
        </w:tc>
        <w:tc>
          <w:tcPr>
            <w:tcW w:w="1802" w:type="dxa"/>
          </w:tcPr>
          <w:p w:rsidR="00194457" w:rsidRPr="00333623" w:rsidRDefault="003A5ADE" w:rsidP="00944DDD">
            <w:pPr>
              <w:spacing w:after="0" w:line="240" w:lineRule="auto"/>
            </w:pPr>
            <w:r>
              <w:t>YES</w:t>
            </w:r>
          </w:p>
        </w:tc>
        <w:tc>
          <w:tcPr>
            <w:tcW w:w="1803" w:type="dxa"/>
          </w:tcPr>
          <w:p w:rsidR="00194457" w:rsidRPr="00333623" w:rsidRDefault="003A5ADE" w:rsidP="00944DDD">
            <w:pPr>
              <w:spacing w:after="0" w:line="240" w:lineRule="auto"/>
            </w:pPr>
            <w:r>
              <w:t>NO</w:t>
            </w:r>
          </w:p>
        </w:tc>
      </w:tr>
      <w:tr w:rsidR="00194457" w:rsidRPr="00333623" w:rsidTr="00944DDD">
        <w:tc>
          <w:tcPr>
            <w:tcW w:w="5637" w:type="dxa"/>
          </w:tcPr>
          <w:p w:rsidR="00194457" w:rsidRDefault="003A5ADE" w:rsidP="00944DDD">
            <w:pPr>
              <w:spacing w:after="0" w:line="240" w:lineRule="auto"/>
            </w:pPr>
            <w:r>
              <w:t>Is the abstract of the thesis submitted acceptable?</w:t>
            </w:r>
          </w:p>
        </w:tc>
        <w:tc>
          <w:tcPr>
            <w:tcW w:w="1802" w:type="dxa"/>
          </w:tcPr>
          <w:p w:rsidR="00194457" w:rsidRDefault="003A5ADE" w:rsidP="00944DDD">
            <w:pPr>
              <w:spacing w:after="0" w:line="240" w:lineRule="auto"/>
            </w:pPr>
            <w:r>
              <w:t>YES</w:t>
            </w:r>
          </w:p>
        </w:tc>
        <w:tc>
          <w:tcPr>
            <w:tcW w:w="1803" w:type="dxa"/>
          </w:tcPr>
          <w:p w:rsidR="00194457" w:rsidRDefault="003A5ADE" w:rsidP="00944DDD">
            <w:pPr>
              <w:spacing w:after="0" w:line="240" w:lineRule="auto"/>
            </w:pPr>
            <w:r>
              <w:t>NO</w:t>
            </w:r>
          </w:p>
        </w:tc>
      </w:tr>
      <w:tr w:rsidR="00194457" w:rsidRPr="00333623" w:rsidTr="00944DDD">
        <w:tc>
          <w:tcPr>
            <w:tcW w:w="5637" w:type="dxa"/>
          </w:tcPr>
          <w:p w:rsidR="00194457" w:rsidRDefault="003A5ADE" w:rsidP="00944DDD">
            <w:pPr>
              <w:spacing w:after="0" w:line="240" w:lineRule="auto"/>
            </w:pPr>
            <w:r>
              <w:t>(Where the candidate’s research programme is part of a collaborative group project,) does the thesis indicate clearly the individual contribution and the extent of the collaboration?</w:t>
            </w:r>
          </w:p>
        </w:tc>
        <w:tc>
          <w:tcPr>
            <w:tcW w:w="1802" w:type="dxa"/>
          </w:tcPr>
          <w:p w:rsidR="00194457" w:rsidRPr="00333623" w:rsidRDefault="003A5ADE" w:rsidP="00944DDD">
            <w:pPr>
              <w:spacing w:after="0" w:line="240" w:lineRule="auto"/>
            </w:pPr>
            <w:r>
              <w:t>YES</w:t>
            </w:r>
          </w:p>
        </w:tc>
        <w:tc>
          <w:tcPr>
            <w:tcW w:w="1803" w:type="dxa"/>
          </w:tcPr>
          <w:p w:rsidR="00194457" w:rsidRPr="00333623" w:rsidRDefault="003A5ADE" w:rsidP="00944DDD">
            <w:pPr>
              <w:spacing w:after="0" w:line="240" w:lineRule="auto"/>
            </w:pPr>
            <w:r>
              <w:t>NO</w:t>
            </w:r>
          </w:p>
        </w:tc>
      </w:tr>
    </w:tbl>
    <w:p w:rsidR="00194457" w:rsidRDefault="00194457"/>
    <w:p w:rsidR="002418A3" w:rsidRDefault="002418A3">
      <w:pPr>
        <w:rPr>
          <w:b/>
        </w:rPr>
      </w:pPr>
      <w:r>
        <w:rPr>
          <w:b/>
        </w:rPr>
        <w:br w:type="page"/>
      </w:r>
    </w:p>
    <w:p w:rsidR="002418A3" w:rsidRPr="002418A3" w:rsidRDefault="001E43CD">
      <w:pPr>
        <w:rPr>
          <w:b/>
        </w:rPr>
      </w:pPr>
      <w:r>
        <w:rPr>
          <w:b/>
        </w:rPr>
        <w:lastRenderedPageBreak/>
        <w:t xml:space="preserve">Section 5: </w:t>
      </w:r>
      <w:r w:rsidR="002418A3" w:rsidRPr="002418A3">
        <w:rPr>
          <w:b/>
        </w:rPr>
        <w:t>Examiner</w:t>
      </w:r>
      <w:r w:rsidR="00380FB9">
        <w:rPr>
          <w:b/>
        </w:rPr>
        <w:t>’</w:t>
      </w:r>
      <w:r w:rsidR="002418A3" w:rsidRPr="002418A3">
        <w:rPr>
          <w:b/>
        </w:rPr>
        <w:t>s Report on the thesis</w:t>
      </w:r>
    </w:p>
    <w:p w:rsidR="002418A3" w:rsidRDefault="002418A3">
      <w:r>
        <w:t>(</w:t>
      </w:r>
      <w:proofErr w:type="gramStart"/>
      <w:r>
        <w:t>approximately</w:t>
      </w:r>
      <w:proofErr w:type="gramEnd"/>
      <w:r>
        <w:t xml:space="preserve"> 300 words should suffice)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18A3" w:rsidTr="00944DDD">
        <w:tc>
          <w:tcPr>
            <w:tcW w:w="9242" w:type="dxa"/>
          </w:tcPr>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p w:rsidR="002418A3" w:rsidRDefault="002418A3" w:rsidP="00944DDD">
            <w:pPr>
              <w:spacing w:after="0" w:line="240" w:lineRule="auto"/>
            </w:pPr>
          </w:p>
        </w:tc>
      </w:tr>
    </w:tbl>
    <w:p w:rsidR="002418A3" w:rsidRDefault="002418A3"/>
    <w:p w:rsidR="002418A3" w:rsidRDefault="002418A3" w:rsidP="002418A3">
      <w:pPr>
        <w:jc w:val="center"/>
      </w:pPr>
    </w:p>
    <w:p w:rsidR="002418A3" w:rsidRPr="00643C9C" w:rsidRDefault="001E43CD" w:rsidP="002418A3">
      <w:pPr>
        <w:jc w:val="both"/>
        <w:rPr>
          <w:b/>
        </w:rPr>
      </w:pPr>
      <w:r>
        <w:rPr>
          <w:b/>
        </w:rPr>
        <w:lastRenderedPageBreak/>
        <w:t xml:space="preserve">Section 6: </w:t>
      </w:r>
      <w:r w:rsidR="002418A3" w:rsidRPr="00643C9C">
        <w:rPr>
          <w:b/>
        </w:rPr>
        <w:t>Examiner’s Provisional Recommendation on the Thesis</w:t>
      </w:r>
    </w:p>
    <w:p w:rsidR="002418A3" w:rsidRDefault="002418A3" w:rsidP="002418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3125"/>
        <w:gridCol w:w="1756"/>
      </w:tblGrid>
      <w:tr w:rsidR="002418A3" w:rsidTr="00944DDD">
        <w:tc>
          <w:tcPr>
            <w:tcW w:w="7439" w:type="dxa"/>
            <w:gridSpan w:val="2"/>
          </w:tcPr>
          <w:p w:rsidR="002418A3" w:rsidRDefault="002418A3" w:rsidP="00067473">
            <w:pPr>
              <w:spacing w:after="0" w:line="240" w:lineRule="auto"/>
            </w:pPr>
            <w:r>
              <w:t xml:space="preserve">The thesis is satisfactory and subject to satisfactory performance in the oral examination, the candidate be awarded the degree of </w:t>
            </w:r>
            <w:r w:rsidR="00067473">
              <w:t>Master of Philosophy</w:t>
            </w:r>
          </w:p>
        </w:tc>
        <w:tc>
          <w:tcPr>
            <w:tcW w:w="1803" w:type="dxa"/>
          </w:tcPr>
          <w:p w:rsidR="002418A3" w:rsidRDefault="002418A3" w:rsidP="00944DDD">
            <w:pPr>
              <w:spacing w:after="0" w:line="240" w:lineRule="auto"/>
            </w:pPr>
          </w:p>
        </w:tc>
      </w:tr>
      <w:tr w:rsidR="002418A3" w:rsidTr="00944DDD">
        <w:tc>
          <w:tcPr>
            <w:tcW w:w="7439" w:type="dxa"/>
            <w:gridSpan w:val="2"/>
          </w:tcPr>
          <w:p w:rsidR="002418A3" w:rsidRDefault="002418A3" w:rsidP="00944DDD">
            <w:pPr>
              <w:spacing w:after="0" w:line="240" w:lineRule="auto"/>
            </w:pPr>
            <w:r>
              <w:t>I wish to suspend judgement until after the oral examination</w:t>
            </w:r>
          </w:p>
        </w:tc>
        <w:tc>
          <w:tcPr>
            <w:tcW w:w="1803" w:type="dxa"/>
          </w:tcPr>
          <w:p w:rsidR="002418A3" w:rsidRDefault="002418A3" w:rsidP="00944DDD">
            <w:pPr>
              <w:spacing w:after="0" w:line="240" w:lineRule="auto"/>
            </w:pPr>
          </w:p>
        </w:tc>
      </w:tr>
      <w:tr w:rsidR="002418A3" w:rsidTr="00643C9C">
        <w:tc>
          <w:tcPr>
            <w:tcW w:w="4219" w:type="dxa"/>
          </w:tcPr>
          <w:p w:rsidR="002418A3" w:rsidRDefault="00643C9C" w:rsidP="00944DDD">
            <w:pPr>
              <w:spacing w:after="0" w:line="240" w:lineRule="auto"/>
            </w:pPr>
            <w:r>
              <w:t>I wish to request a further form of examination in addition to the oral examination (please provide details)</w:t>
            </w:r>
            <w:r w:rsidR="002418A3">
              <w:t xml:space="preserve"> </w:t>
            </w:r>
          </w:p>
        </w:tc>
        <w:tc>
          <w:tcPr>
            <w:tcW w:w="5023" w:type="dxa"/>
            <w:gridSpan w:val="2"/>
          </w:tcPr>
          <w:p w:rsidR="002418A3" w:rsidRDefault="002418A3" w:rsidP="00944DDD">
            <w:pPr>
              <w:spacing w:after="0" w:line="240" w:lineRule="auto"/>
            </w:pPr>
          </w:p>
        </w:tc>
      </w:tr>
    </w:tbl>
    <w:p w:rsidR="002418A3" w:rsidRDefault="002418A3" w:rsidP="002418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517"/>
      </w:tblGrid>
      <w:tr w:rsidR="00643C9C" w:rsidTr="00944DDD">
        <w:tc>
          <w:tcPr>
            <w:tcW w:w="5637" w:type="dxa"/>
          </w:tcPr>
          <w:p w:rsidR="00643C9C" w:rsidRDefault="00643C9C" w:rsidP="00944DDD">
            <w:pPr>
              <w:spacing w:after="0" w:line="240" w:lineRule="auto"/>
            </w:pPr>
            <w:r>
              <w:t>Signed by Examiner:</w:t>
            </w:r>
          </w:p>
        </w:tc>
        <w:tc>
          <w:tcPr>
            <w:tcW w:w="3605" w:type="dxa"/>
          </w:tcPr>
          <w:p w:rsidR="00643C9C" w:rsidRDefault="00643C9C" w:rsidP="00944DDD">
            <w:pPr>
              <w:spacing w:after="0" w:line="240" w:lineRule="auto"/>
            </w:pPr>
            <w:r>
              <w:t>Date:</w:t>
            </w:r>
          </w:p>
          <w:p w:rsidR="00643C9C" w:rsidRDefault="00643C9C" w:rsidP="00944DDD">
            <w:pPr>
              <w:spacing w:after="0" w:line="240" w:lineRule="auto"/>
            </w:pPr>
          </w:p>
          <w:p w:rsidR="00643C9C" w:rsidRDefault="00643C9C" w:rsidP="00944DDD">
            <w:pPr>
              <w:spacing w:after="0" w:line="240" w:lineRule="auto"/>
            </w:pPr>
          </w:p>
          <w:p w:rsidR="00643C9C" w:rsidRDefault="00643C9C" w:rsidP="00944DDD">
            <w:pPr>
              <w:spacing w:after="0" w:line="240" w:lineRule="auto"/>
            </w:pPr>
          </w:p>
        </w:tc>
      </w:tr>
    </w:tbl>
    <w:p w:rsidR="00643C9C" w:rsidRDefault="00643C9C" w:rsidP="002418A3">
      <w:pPr>
        <w:jc w:val="both"/>
      </w:pPr>
    </w:p>
    <w:p w:rsidR="00643C9C" w:rsidRDefault="00643C9C" w:rsidP="00643C9C">
      <w:r>
        <w:t xml:space="preserve">To allow for circulation to other members of the examining team, please return the completed form </w:t>
      </w:r>
      <w:r>
        <w:rPr>
          <w:b/>
        </w:rPr>
        <w:t>at least one week before the date of the oral examination</w:t>
      </w:r>
      <w:r>
        <w:t xml:space="preserve"> to the </w:t>
      </w:r>
      <w:r w:rsidR="00380FB9">
        <w:t>Graduate School</w:t>
      </w:r>
      <w:r>
        <w:t xml:space="preserve"> as per the details below:</w:t>
      </w:r>
    </w:p>
    <w:p w:rsidR="00217735" w:rsidRDefault="00217735" w:rsidP="00643C9C"/>
    <w:p w:rsidR="00643C9C" w:rsidRDefault="00217735" w:rsidP="00217735">
      <w:pPr>
        <w:rPr>
          <w:b/>
        </w:rPr>
      </w:pPr>
      <w:r>
        <w:rPr>
          <w:b/>
        </w:rPr>
        <w:t>Y</w:t>
      </w:r>
      <w:r w:rsidR="00643C9C">
        <w:rPr>
          <w:b/>
        </w:rPr>
        <w:t xml:space="preserve">ou can post your completed application form to: </w:t>
      </w:r>
    </w:p>
    <w:p w:rsidR="006F76D1" w:rsidRDefault="00643C9C" w:rsidP="006F76D1">
      <w:pPr>
        <w:rPr>
          <w:b/>
        </w:rPr>
      </w:pPr>
      <w:r>
        <w:rPr>
          <w:b/>
        </w:rPr>
        <w:br/>
      </w:r>
      <w:r w:rsidR="006F76D1" w:rsidRPr="003A7D65">
        <w:rPr>
          <w:b/>
        </w:rPr>
        <w:t xml:space="preserve">Leeds </w:t>
      </w:r>
      <w:r w:rsidR="006F76D1">
        <w:rPr>
          <w:b/>
        </w:rPr>
        <w:t>Beckett</w:t>
      </w:r>
      <w:r w:rsidR="006F76D1" w:rsidRPr="003A7D65">
        <w:rPr>
          <w:b/>
        </w:rPr>
        <w:t xml:space="preserve"> University,</w:t>
      </w:r>
    </w:p>
    <w:p w:rsidR="00EB2B31" w:rsidRPr="003A7D65" w:rsidRDefault="00EB2B31" w:rsidP="006F76D1">
      <w:pPr>
        <w:rPr>
          <w:b/>
        </w:rPr>
      </w:pPr>
      <w:r>
        <w:rPr>
          <w:b/>
        </w:rPr>
        <w:t>Examinations &amp; Awards,</w:t>
      </w:r>
    </w:p>
    <w:p w:rsidR="006F76D1" w:rsidRPr="003A7D65" w:rsidRDefault="006F76D1" w:rsidP="006F76D1">
      <w:pPr>
        <w:rPr>
          <w:b/>
        </w:rPr>
      </w:pPr>
      <w:r>
        <w:rPr>
          <w:b/>
        </w:rPr>
        <w:t>Graduate School,</w:t>
      </w:r>
    </w:p>
    <w:p w:rsidR="006F76D1" w:rsidRPr="003A7D65" w:rsidRDefault="00380FB9" w:rsidP="006F76D1">
      <w:pPr>
        <w:rPr>
          <w:b/>
        </w:rPr>
      </w:pPr>
      <w:r>
        <w:rPr>
          <w:b/>
        </w:rPr>
        <w:t>Bronte Hall</w:t>
      </w:r>
      <w:r w:rsidR="00EB2B31">
        <w:rPr>
          <w:b/>
        </w:rPr>
        <w:t xml:space="preserve"> 226,</w:t>
      </w:r>
    </w:p>
    <w:p w:rsidR="006F76D1" w:rsidRPr="003A7D65" w:rsidRDefault="006F76D1" w:rsidP="006F76D1">
      <w:pPr>
        <w:rPr>
          <w:b/>
        </w:rPr>
      </w:pPr>
      <w:r w:rsidRPr="003A7D65">
        <w:rPr>
          <w:b/>
        </w:rPr>
        <w:t xml:space="preserve">Headingley Campus, </w:t>
      </w:r>
    </w:p>
    <w:p w:rsidR="006F76D1" w:rsidRPr="003A7D65" w:rsidRDefault="006F76D1" w:rsidP="006F76D1">
      <w:pPr>
        <w:rPr>
          <w:b/>
        </w:rPr>
      </w:pPr>
      <w:r w:rsidRPr="003A7D65">
        <w:rPr>
          <w:b/>
        </w:rPr>
        <w:t xml:space="preserve">Leeds, LS6 </w:t>
      </w:r>
      <w:r w:rsidR="00380FB9">
        <w:rPr>
          <w:b/>
        </w:rPr>
        <w:t>3QW</w:t>
      </w:r>
    </w:p>
    <w:p w:rsidR="00217735" w:rsidRDefault="00217735" w:rsidP="006F76D1">
      <w:pPr>
        <w:rPr>
          <w:b/>
        </w:rPr>
      </w:pPr>
    </w:p>
    <w:p w:rsidR="00217735" w:rsidRDefault="006F76D1" w:rsidP="00217735">
      <w:pPr>
        <w:rPr>
          <w:b/>
        </w:rPr>
      </w:pPr>
      <w:r>
        <w:rPr>
          <w:b/>
        </w:rPr>
        <w:t>Alternatively,</w:t>
      </w:r>
      <w:r w:rsidR="00217735">
        <w:rPr>
          <w:b/>
        </w:rPr>
        <w:t xml:space="preserve"> you can send a scanned copy of this form to the following email address:</w:t>
      </w:r>
    </w:p>
    <w:p w:rsidR="00217735" w:rsidRPr="00643C9C" w:rsidRDefault="00380FB9" w:rsidP="00217735">
      <w:pPr>
        <w:jc w:val="center"/>
        <w:rPr>
          <w:rFonts w:cs="Arial"/>
          <w:b/>
        </w:rPr>
      </w:pPr>
      <w:r>
        <w:rPr>
          <w:rFonts w:cs="Arial"/>
          <w:b/>
        </w:rPr>
        <w:t>The Graduate School</w:t>
      </w:r>
      <w:r w:rsidR="00217735" w:rsidRPr="00643C9C">
        <w:rPr>
          <w:rFonts w:cs="Arial"/>
          <w:b/>
        </w:rPr>
        <w:t xml:space="preserve"> – </w:t>
      </w:r>
      <w:hyperlink r:id="rId5" w:history="1">
        <w:r w:rsidR="00E97E22" w:rsidRPr="00F666BB">
          <w:rPr>
            <w:rStyle w:val="Hyperlink"/>
            <w:rFonts w:cs="Arial"/>
            <w:b/>
          </w:rPr>
          <w:t>ResearchStudentAdmin@leedsbeckett.ac.uk</w:t>
        </w:r>
      </w:hyperlink>
    </w:p>
    <w:p w:rsidR="001E43CD" w:rsidRDefault="001E43CD" w:rsidP="00643C9C">
      <w:pPr>
        <w:jc w:val="center"/>
        <w:rPr>
          <w:b/>
        </w:rPr>
      </w:pPr>
    </w:p>
    <w:p w:rsidR="001E43CD" w:rsidRDefault="001E43CD" w:rsidP="001E43CD">
      <w:pPr>
        <w:rPr>
          <w:b/>
        </w:rPr>
      </w:pPr>
      <w:r>
        <w:rPr>
          <w:b/>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509"/>
        <w:gridCol w:w="3507"/>
      </w:tblGrid>
      <w:tr w:rsidR="001E43CD" w:rsidRPr="00333623" w:rsidTr="001E43CD">
        <w:tc>
          <w:tcPr>
            <w:tcW w:w="5637" w:type="dxa"/>
            <w:shd w:val="pct5" w:color="auto" w:fill="auto"/>
          </w:tcPr>
          <w:p w:rsidR="001E43CD" w:rsidRDefault="006F76D1" w:rsidP="00944DDD">
            <w:pPr>
              <w:spacing w:after="0" w:line="240" w:lineRule="auto"/>
            </w:pPr>
            <w:r>
              <w:t>Date Received (Graduate School</w:t>
            </w:r>
            <w:r w:rsidR="001E43CD">
              <w:t>):</w:t>
            </w:r>
          </w:p>
        </w:tc>
        <w:tc>
          <w:tcPr>
            <w:tcW w:w="3605" w:type="dxa"/>
            <w:shd w:val="pct5" w:color="auto" w:fill="auto"/>
          </w:tcPr>
          <w:p w:rsidR="001E43CD" w:rsidRPr="00333623" w:rsidRDefault="001E43CD" w:rsidP="00944DDD">
            <w:pPr>
              <w:spacing w:after="0" w:line="240" w:lineRule="auto"/>
            </w:pPr>
          </w:p>
        </w:tc>
      </w:tr>
      <w:tr w:rsidR="001E43CD" w:rsidRPr="00333623" w:rsidTr="001E43CD">
        <w:tc>
          <w:tcPr>
            <w:tcW w:w="5637" w:type="dxa"/>
            <w:shd w:val="pct5" w:color="auto" w:fill="auto"/>
          </w:tcPr>
          <w:p w:rsidR="001E43CD" w:rsidRDefault="001E43CD" w:rsidP="00944DDD">
            <w:pPr>
              <w:spacing w:after="0" w:line="240" w:lineRule="auto"/>
            </w:pPr>
            <w:r>
              <w:t>Date Circulated to Examiners:</w:t>
            </w:r>
          </w:p>
        </w:tc>
        <w:tc>
          <w:tcPr>
            <w:tcW w:w="3605" w:type="dxa"/>
            <w:shd w:val="pct5" w:color="auto" w:fill="auto"/>
          </w:tcPr>
          <w:p w:rsidR="001E43CD" w:rsidRPr="00333623" w:rsidRDefault="001E43CD" w:rsidP="00944DDD">
            <w:pPr>
              <w:spacing w:after="0" w:line="240" w:lineRule="auto"/>
            </w:pPr>
          </w:p>
        </w:tc>
      </w:tr>
    </w:tbl>
    <w:p w:rsidR="00217735" w:rsidRDefault="00217735" w:rsidP="00643C9C">
      <w:pPr>
        <w:pStyle w:val="Heading1"/>
        <w:numPr>
          <w:ilvl w:val="0"/>
          <w:numId w:val="0"/>
        </w:numPr>
        <w:rPr>
          <w:rFonts w:ascii="Verdana" w:hAnsi="Verdana"/>
          <w:sz w:val="22"/>
        </w:rPr>
      </w:pPr>
      <w:bookmarkStart w:id="0" w:name="_Toc219794257"/>
      <w:bookmarkStart w:id="1" w:name="_Toc245188792"/>
    </w:p>
    <w:p w:rsidR="00217735" w:rsidRDefault="00217735" w:rsidP="00217735">
      <w:pPr>
        <w:rPr>
          <w:rFonts w:eastAsia="Times New Roman" w:cs="Arial"/>
          <w:kern w:val="32"/>
          <w:szCs w:val="32"/>
          <w:lang w:eastAsia="en-GB"/>
        </w:rPr>
      </w:pPr>
    </w:p>
    <w:p w:rsidR="00643C9C" w:rsidRDefault="00643C9C" w:rsidP="00643C9C">
      <w:pPr>
        <w:pStyle w:val="Heading1"/>
        <w:numPr>
          <w:ilvl w:val="0"/>
          <w:numId w:val="0"/>
        </w:numPr>
        <w:rPr>
          <w:rFonts w:ascii="Verdana" w:hAnsi="Verdana"/>
          <w:sz w:val="22"/>
        </w:rPr>
      </w:pPr>
      <w:r w:rsidRPr="00E201C7">
        <w:rPr>
          <w:rFonts w:ascii="Verdana" w:hAnsi="Verdana"/>
          <w:sz w:val="22"/>
        </w:rPr>
        <w:t>CRITERIA OF ASSESSMENT FOR RESEARCH AWARDS</w:t>
      </w:r>
      <w:bookmarkEnd w:id="0"/>
      <w:bookmarkEnd w:id="1"/>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944DDD">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PhD</w:t>
            </w:r>
          </w:p>
        </w:tc>
      </w:tr>
      <w:tr w:rsidR="00643C9C" w:rsidRPr="000E2461" w:rsidTr="00944DDD">
        <w:trPr>
          <w:trHeight w:val="1052"/>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b/>
                <w:bCs/>
                <w:sz w:val="16"/>
                <w:szCs w:val="16"/>
              </w:rPr>
            </w:pPr>
            <w:r w:rsidRPr="000E2461">
              <w:rPr>
                <w:rFonts w:cs="Arial"/>
                <w:b/>
                <w:bCs/>
                <w:sz w:val="16"/>
                <w:szCs w:val="16"/>
              </w:rPr>
              <w:t>Organisation &amp; Planning</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set negotiate &amp; meet own objectives &amp; deadlines to identified standards &amp; involving the sensitive organisation &amp; management of others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set negotiate &amp; meet own objectives &amp; deadlines in a wide variety of contexts, over extended periods of time with a high level of autonomy &amp; involving the sensitive &amp; ethical organisation &amp; management of others from a wide range of cultural/social/political backgrounds &amp; contexts</w:t>
            </w:r>
          </w:p>
        </w:tc>
      </w:tr>
      <w:tr w:rsidR="00643C9C" w:rsidRPr="000E2461" w:rsidTr="00944DDD">
        <w:trPr>
          <w:trHeight w:val="88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b/>
                <w:bCs/>
                <w:sz w:val="16"/>
                <w:szCs w:val="16"/>
              </w:rPr>
            </w:pPr>
            <w:r w:rsidRPr="000E2461">
              <w:rPr>
                <w:rFonts w:cs="Arial"/>
                <w:b/>
                <w:bCs/>
                <w:sz w:val="16"/>
                <w:szCs w:val="16"/>
              </w:rPr>
              <w:t>Communication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select appropriate styles &amp; modes of communication for complex tasks &amp; purposes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Able to communicate effectively in the full range of formal styles appropriate to &amp; consistent with research in the chosen cognate area, for the production &amp; defence of extended academic theses &amp; for a wide range of presentation &amp; publishing goals &amp; targets</w:t>
            </w:r>
          </w:p>
        </w:tc>
      </w:tr>
      <w:tr w:rsidR="00643C9C" w:rsidRPr="000E2461" w:rsidTr="00944DDD">
        <w:trPr>
          <w:trHeight w:val="1058"/>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Group/ Interpersonal</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interact sympathetically &amp; ethically with individuals &amp; groups, in varied settings, to achieve a major research task</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944DDD">
            <w:pPr>
              <w:rPr>
                <w:rFonts w:cs="Arial"/>
                <w:sz w:val="16"/>
                <w:szCs w:val="16"/>
              </w:rPr>
            </w:pPr>
            <w:r w:rsidRPr="000E2461">
              <w:rPr>
                <w:rFonts w:cs="Arial"/>
                <w:sz w:val="16"/>
                <w:szCs w:val="16"/>
              </w:rPr>
              <w:t>Able to interact sympathetically &amp; ethically with individuals &amp; groups from a wide range of cultural/social/political backgrounds in varied settings over extended &amp; intensive periods of time with accurate notions of the precise impact of themselves on the settings in which they are operating</w:t>
            </w:r>
          </w:p>
        </w:tc>
      </w:tr>
      <w:tr w:rsidR="00643C9C" w:rsidRPr="000E2461" w:rsidTr="00944DDD">
        <w:trPr>
          <w:trHeight w:val="765"/>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 </w:t>
            </w:r>
          </w:p>
        </w:tc>
        <w:tc>
          <w:tcPr>
            <w:tcW w:w="2620" w:type="dxa"/>
            <w:tcBorders>
              <w:top w:val="nil"/>
              <w:left w:val="nil"/>
              <w:bottom w:val="nil"/>
              <w:right w:val="nil"/>
            </w:tcBorders>
            <w:shd w:val="clear" w:color="auto" w:fill="auto"/>
          </w:tcPr>
          <w:p w:rsidR="00643C9C" w:rsidRPr="000E2461" w:rsidRDefault="00643C9C" w:rsidP="00944DDD">
            <w:pPr>
              <w:rPr>
                <w:rFonts w:cs="Arial"/>
                <w:sz w:val="16"/>
                <w:szCs w:val="16"/>
              </w:rPr>
            </w:pP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develop ways of coping/operating in novel settings with novel group/groupings</w:t>
            </w:r>
          </w:p>
        </w:tc>
      </w:tr>
      <w:tr w:rsidR="00643C9C" w:rsidRPr="000E2461" w:rsidTr="00944DDD">
        <w:trPr>
          <w:trHeight w:val="51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 </w:t>
            </w:r>
          </w:p>
        </w:tc>
        <w:tc>
          <w:tcPr>
            <w:tcW w:w="5240" w:type="dxa"/>
            <w:gridSpan w:val="2"/>
            <w:tcBorders>
              <w:top w:val="nil"/>
              <w:left w:val="nil"/>
              <w:bottom w:val="single" w:sz="4" w:space="0" w:color="auto"/>
              <w:right w:val="single" w:sz="4" w:space="0" w:color="000000"/>
            </w:tcBorders>
            <w:shd w:val="clear" w:color="auto" w:fill="auto"/>
          </w:tcPr>
          <w:p w:rsidR="00643C9C" w:rsidRPr="000E2461" w:rsidRDefault="00643C9C" w:rsidP="00944DDD">
            <w:pPr>
              <w:rPr>
                <w:rFonts w:cs="Arial"/>
                <w:sz w:val="16"/>
                <w:szCs w:val="16"/>
              </w:rPr>
            </w:pPr>
            <w:r w:rsidRPr="000E2461">
              <w:rPr>
                <w:rFonts w:cs="Arial"/>
                <w:sz w:val="16"/>
                <w:szCs w:val="16"/>
              </w:rPr>
              <w:t>Able to clearly delineate, negotiate &amp; subscribe to agreed parameters &amp; limits of responsibility in group/team settings &amp; ventures</w:t>
            </w:r>
          </w:p>
        </w:tc>
      </w:tr>
      <w:tr w:rsidR="00643C9C" w:rsidRPr="000E2461" w:rsidTr="00944DDD">
        <w:trPr>
          <w:trHeight w:val="1020"/>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Information/ Data Collection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devise valid &amp; reliable methods &amp; instruments for data &amp; information collection in relation to an extended piece of research</w:t>
            </w:r>
          </w:p>
        </w:tc>
        <w:tc>
          <w:tcPr>
            <w:tcW w:w="2620" w:type="dxa"/>
            <w:tcBorders>
              <w:top w:val="nil"/>
              <w:left w:val="nil"/>
              <w:bottom w:val="nil"/>
              <w:right w:val="nil"/>
            </w:tcBorders>
            <w:shd w:val="clear" w:color="auto" w:fill="auto"/>
          </w:tcPr>
          <w:p w:rsidR="00643C9C" w:rsidRPr="000E2461" w:rsidRDefault="00643C9C" w:rsidP="00944DDD">
            <w:pPr>
              <w:rPr>
                <w:rFonts w:cs="Arial"/>
                <w:sz w:val="16"/>
                <w:szCs w:val="16"/>
              </w:rPr>
            </w:pPr>
            <w:r w:rsidRPr="000E2461">
              <w:rPr>
                <w:rFonts w:cs="Arial"/>
                <w:sz w:val="16"/>
                <w:szCs w:val="16"/>
              </w:rPr>
              <w:t>Ability to carry out a full literature search &amp; identify sources relevant to the field of research</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Ability to carry out a complete search, critical review &amp; appraisal of all literature &amp; primary sources of relevance to the research study</w:t>
            </w:r>
          </w:p>
        </w:tc>
      </w:tr>
      <w:tr w:rsidR="00643C9C" w:rsidRPr="000E2461" w:rsidTr="00944DDD">
        <w:trPr>
          <w:trHeight w:val="750"/>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 </w:t>
            </w:r>
          </w:p>
        </w:tc>
        <w:tc>
          <w:tcPr>
            <w:tcW w:w="5240" w:type="dxa"/>
            <w:gridSpan w:val="2"/>
            <w:tcBorders>
              <w:top w:val="nil"/>
              <w:left w:val="nil"/>
              <w:bottom w:val="nil"/>
              <w:right w:val="single" w:sz="4" w:space="0" w:color="000000"/>
            </w:tcBorders>
            <w:shd w:val="clear" w:color="auto" w:fill="auto"/>
          </w:tcPr>
          <w:p w:rsidR="00643C9C" w:rsidRPr="000E2461" w:rsidRDefault="00643C9C" w:rsidP="00944DDD">
            <w:pPr>
              <w:rPr>
                <w:rFonts w:cs="Arial"/>
                <w:sz w:val="16"/>
                <w:szCs w:val="16"/>
              </w:rPr>
            </w:pPr>
            <w:r w:rsidRPr="000E2461">
              <w:rPr>
                <w:rFonts w:cs="Arial"/>
                <w:sz w:val="16"/>
                <w:szCs w:val="16"/>
              </w:rPr>
              <w:t>Ability to make reasoned judgements regarding the appropriateness of a range of typologies of methods &amp; instruments for data/information collection</w:t>
            </w:r>
          </w:p>
        </w:tc>
      </w:tr>
      <w:tr w:rsidR="00643C9C" w:rsidRPr="000E2461" w:rsidTr="00944DDD">
        <w:trPr>
          <w:trHeight w:val="1271"/>
        </w:trPr>
        <w:tc>
          <w:tcPr>
            <w:tcW w:w="1380" w:type="dxa"/>
            <w:tcBorders>
              <w:top w:val="nil"/>
              <w:left w:val="single" w:sz="4" w:space="0" w:color="auto"/>
              <w:bottom w:val="single" w:sz="4" w:space="0" w:color="auto"/>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 </w:t>
            </w:r>
          </w:p>
        </w:tc>
        <w:tc>
          <w:tcPr>
            <w:tcW w:w="2620" w:type="dxa"/>
            <w:tcBorders>
              <w:top w:val="nil"/>
              <w:left w:val="nil"/>
              <w:bottom w:val="single" w:sz="4" w:space="0" w:color="auto"/>
              <w:right w:val="nil"/>
            </w:tcBorders>
            <w:shd w:val="clear" w:color="auto" w:fill="auto"/>
          </w:tcPr>
          <w:p w:rsidR="00643C9C" w:rsidRPr="000E2461" w:rsidRDefault="00643C9C" w:rsidP="00944DDD">
            <w:pPr>
              <w:rPr>
                <w:rFonts w:cs="Arial"/>
                <w:sz w:val="16"/>
                <w:szCs w:val="16"/>
              </w:rPr>
            </w:pPr>
            <w:r w:rsidRPr="000E2461">
              <w:rPr>
                <w:rFonts w:cs="Arial"/>
                <w:sz w:val="16"/>
                <w:szCs w:val="16"/>
              </w:rPr>
              <w:t>Able to adapt &amp; apply methods &amp; instruments appropriately to novel situations/contexts with due concern for matters of reliability &amp; validity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Able to devise &amp; design novel methods &amp; instruments for application in novel situations &amp;/or contexts with a clear &amp; critical perspective on the levels of reliability &amp; validity achieved</w:t>
            </w:r>
          </w:p>
        </w:tc>
      </w:tr>
      <w:tr w:rsidR="00643C9C" w:rsidRPr="000E2461" w:rsidTr="00944DDD">
        <w:trPr>
          <w:trHeight w:val="1620"/>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b/>
                <w:bCs/>
                <w:sz w:val="16"/>
                <w:szCs w:val="16"/>
              </w:rPr>
            </w:pPr>
            <w:r w:rsidRPr="000E2461">
              <w:rPr>
                <w:rFonts w:cs="Arial"/>
                <w:b/>
                <w:bCs/>
                <w:sz w:val="16"/>
                <w:szCs w:val="16"/>
              </w:rPr>
              <w:t>Theory &amp; Principles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Knowledge &amp; understanding of a range of subject-specific advanced &amp; contemporary theory, &amp; of strategies &amp; methodologies for investigation/ solution of professionally orientated research 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Knowledge &amp; understanding of the range of subject-specific contemporary theory &amp; of appropriate methods &amp; strategies for investigation &amp; solution of identified issues/problems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Knowledge &amp; understanding of theory, methods &amp; strategies in the specific &amp; in related fields of study, with a clearly articulated contextualisation of this study within its wider subject environment</w:t>
            </w:r>
          </w:p>
        </w:tc>
      </w:tr>
      <w:tr w:rsidR="00643C9C" w:rsidRPr="000E2461" w:rsidTr="00944DDD">
        <w:trPr>
          <w:trHeight w:val="176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b/>
                <w:bCs/>
                <w:sz w:val="16"/>
                <w:szCs w:val="16"/>
              </w:rPr>
            </w:pPr>
            <w:r w:rsidRPr="000E2461">
              <w:rPr>
                <w:rFonts w:cs="Arial"/>
                <w:b/>
                <w:bCs/>
                <w:sz w:val="16"/>
                <w:szCs w:val="16"/>
              </w:rPr>
              <w:t>Analysis &amp; Reflection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Analyses problems objectively using the main theoretical perspectives of the cognate area &amp; the appropriate research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Analyses problems objectively using the main theoretical perspectives of the field of study &amp; appropriate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 xml:space="preserve">Analyses problems objectively using critically evaluated novel (or extended) theoretical perspectives from this (or related) fields of study, with rational sensitivity to, awareness of &amp; allowance for effects </w:t>
            </w:r>
            <w:r w:rsidRPr="000E2461">
              <w:rPr>
                <w:rFonts w:cs="Arial"/>
                <w:sz w:val="16"/>
                <w:szCs w:val="16"/>
              </w:rPr>
              <w:lastRenderedPageBreak/>
              <w:t>on the opinions/views/feelings of all others involved</w:t>
            </w:r>
          </w:p>
        </w:tc>
      </w:tr>
    </w:tbl>
    <w:p w:rsidR="00643C9C" w:rsidRPr="000E2461" w:rsidRDefault="00643C9C" w:rsidP="00643C9C">
      <w:pPr>
        <w:rPr>
          <w:rFonts w:cs="Arial"/>
        </w:rPr>
      </w:pPr>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944DDD">
        <w:trPr>
          <w:trHeight w:val="2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944DDD">
            <w:pPr>
              <w:jc w:val="center"/>
              <w:rPr>
                <w:rFonts w:cs="Arial"/>
                <w:b/>
                <w:bCs/>
                <w:sz w:val="16"/>
                <w:szCs w:val="16"/>
              </w:rPr>
            </w:pPr>
            <w:r w:rsidRPr="000E2461">
              <w:rPr>
                <w:rFonts w:cs="Arial"/>
                <w:b/>
                <w:bCs/>
                <w:sz w:val="16"/>
                <w:szCs w:val="16"/>
              </w:rPr>
              <w:t>PhD</w:t>
            </w:r>
          </w:p>
        </w:tc>
      </w:tr>
      <w:tr w:rsidR="00643C9C" w:rsidRPr="000E2461" w:rsidTr="00944DDD">
        <w:trPr>
          <w:trHeight w:val="703"/>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Application &amp; Reflection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Applies theories, methodology &amp; strategies in rational and valid ways, demonstrating empirical/experimental rigour in</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944DDD">
            <w:pPr>
              <w:rPr>
                <w:rFonts w:cs="Arial"/>
                <w:sz w:val="16"/>
                <w:szCs w:val="16"/>
              </w:rPr>
            </w:pPr>
            <w:r w:rsidRPr="000E2461">
              <w:rPr>
                <w:rFonts w:cs="Arial"/>
                <w:sz w:val="16"/>
                <w:szCs w:val="16"/>
              </w:rPr>
              <w:t xml:space="preserve">Applies knowledge, theory, methodology &amp; strategies in rational &amp; valid ways, demonstrating experimental/research rigour in identifying solutions to complex &amp; significant problems </w:t>
            </w:r>
          </w:p>
        </w:tc>
      </w:tr>
      <w:tr w:rsidR="00643C9C" w:rsidRPr="000E2461" w:rsidTr="00944DDD">
        <w:trPr>
          <w:trHeight w:val="138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proofErr w:type="gramStart"/>
            <w:r w:rsidRPr="000E2461">
              <w:rPr>
                <w:rFonts w:cs="Arial"/>
                <w:sz w:val="16"/>
                <w:szCs w:val="16"/>
              </w:rPr>
              <w:t>identifying</w:t>
            </w:r>
            <w:proofErr w:type="gramEnd"/>
            <w:r w:rsidRPr="000E2461">
              <w:rPr>
                <w:rFonts w:cs="Arial"/>
                <w:sz w:val="16"/>
                <w:szCs w:val="16"/>
              </w:rPr>
              <w:t xml:space="preserve"> solutions to complex &amp; significant problems. Reflects both extensively/objectively on methods, process, outcomes</w:t>
            </w:r>
          </w:p>
        </w:tc>
        <w:tc>
          <w:tcPr>
            <w:tcW w:w="2620" w:type="dxa"/>
            <w:tcBorders>
              <w:top w:val="nil"/>
              <w:left w:val="nil"/>
              <w:bottom w:val="single" w:sz="4" w:space="0" w:color="auto"/>
              <w:right w:val="nil"/>
            </w:tcBorders>
            <w:shd w:val="clear" w:color="auto" w:fill="auto"/>
          </w:tcPr>
          <w:p w:rsidR="00643C9C" w:rsidRPr="000E2461" w:rsidRDefault="00643C9C" w:rsidP="00944DDD">
            <w:pPr>
              <w:rPr>
                <w:rFonts w:cs="Arial"/>
                <w:sz w:val="16"/>
                <w:szCs w:val="16"/>
              </w:rPr>
            </w:pPr>
            <w:r w:rsidRPr="000E2461">
              <w:rPr>
                <w:rFonts w:cs="Arial"/>
                <w:sz w:val="16"/>
                <w:szCs w:val="16"/>
              </w:rPr>
              <w:t>Reflects objectively, particularly on the methods, the process &amp; the outcomes of the study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Reflects extensively &amp; critically on all aspects - knowledge, theory, methods, process, outcomes - of the study &amp; on the implications for the wider context within which the study is located</w:t>
            </w:r>
          </w:p>
        </w:tc>
      </w:tr>
      <w:tr w:rsidR="00643C9C" w:rsidRPr="000E2461" w:rsidTr="00944DDD">
        <w:trPr>
          <w:trHeight w:val="538"/>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Synthesis &amp; Evaluation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 xml:space="preserve">Critically evaluates outcomes &amp; relates them to existing knowledge structures &amp; </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944DDD">
            <w:pPr>
              <w:rPr>
                <w:rFonts w:cs="Arial"/>
                <w:sz w:val="16"/>
                <w:szCs w:val="16"/>
              </w:rPr>
            </w:pPr>
            <w:r w:rsidRPr="000E2461">
              <w:rPr>
                <w:rFonts w:cs="Arial"/>
                <w:sz w:val="16"/>
                <w:szCs w:val="16"/>
              </w:rPr>
              <w:t>Critically evaluates outcomes &amp; relates them to existing knowledge structures, theoretical perspectives &amp; methodologies suggesting further topics for research</w:t>
            </w:r>
          </w:p>
        </w:tc>
      </w:tr>
      <w:tr w:rsidR="00643C9C" w:rsidRPr="000E2461" w:rsidTr="00944DDD">
        <w:trPr>
          <w:trHeight w:val="1575"/>
        </w:trPr>
        <w:tc>
          <w:tcPr>
            <w:tcW w:w="1380" w:type="dxa"/>
            <w:tcBorders>
              <w:top w:val="nil"/>
              <w:left w:val="single" w:sz="4" w:space="0" w:color="auto"/>
              <w:bottom w:val="single" w:sz="4" w:space="0" w:color="auto"/>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proofErr w:type="gramStart"/>
            <w:r w:rsidRPr="000E2461">
              <w:rPr>
                <w:rFonts w:cs="Arial"/>
                <w:sz w:val="16"/>
                <w:szCs w:val="16"/>
              </w:rPr>
              <w:t>methodologies</w:t>
            </w:r>
            <w:proofErr w:type="gramEnd"/>
            <w:r w:rsidRPr="000E2461">
              <w:rPr>
                <w:rFonts w:cs="Arial"/>
                <w:sz w:val="16"/>
                <w:szCs w:val="16"/>
              </w:rPr>
              <w:t>. Reviews validity of theoretical perspectives, methods &amp; strategies applied</w:t>
            </w:r>
          </w:p>
        </w:tc>
        <w:tc>
          <w:tcPr>
            <w:tcW w:w="2620" w:type="dxa"/>
            <w:tcBorders>
              <w:top w:val="nil"/>
              <w:left w:val="nil"/>
              <w:bottom w:val="single" w:sz="4" w:space="0" w:color="auto"/>
              <w:right w:val="nil"/>
            </w:tcBorders>
            <w:shd w:val="clear" w:color="auto" w:fill="auto"/>
          </w:tcPr>
          <w:p w:rsidR="00643C9C" w:rsidRPr="000E2461" w:rsidRDefault="00643C9C" w:rsidP="00944DDD">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Reviews &amp; reappraises knowledge &amp; the validity of theoretical perspectives &amp; methodology in the wider context &amp; proposes areas for research that will further explore these &amp; other related fundamental issues</w:t>
            </w:r>
          </w:p>
        </w:tc>
      </w:tr>
      <w:tr w:rsidR="00643C9C" w:rsidRPr="000E2461" w:rsidTr="00944DDD">
        <w:trPr>
          <w:trHeight w:val="377"/>
        </w:trPr>
        <w:tc>
          <w:tcPr>
            <w:tcW w:w="1380" w:type="dxa"/>
            <w:tcBorders>
              <w:top w:val="nil"/>
              <w:left w:val="single" w:sz="4" w:space="0" w:color="auto"/>
              <w:bottom w:val="nil"/>
              <w:right w:val="nil"/>
            </w:tcBorders>
            <w:shd w:val="clear" w:color="auto" w:fill="auto"/>
          </w:tcPr>
          <w:p w:rsidR="00643C9C" w:rsidRPr="000E2461" w:rsidRDefault="00643C9C" w:rsidP="00944DDD">
            <w:pPr>
              <w:rPr>
                <w:rFonts w:cs="Arial"/>
                <w:b/>
                <w:bCs/>
                <w:sz w:val="16"/>
                <w:szCs w:val="16"/>
              </w:rPr>
            </w:pPr>
            <w:r w:rsidRPr="000E2461">
              <w:rPr>
                <w:rFonts w:cs="Arial"/>
                <w:b/>
                <w:bCs/>
                <w:sz w:val="16"/>
                <w:szCs w:val="16"/>
              </w:rPr>
              <w:t>Creativity</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Identifies modifications to, &amp; impact on, existing knowledge</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944DDD">
            <w:pPr>
              <w:rPr>
                <w:rFonts w:cs="Arial"/>
                <w:sz w:val="16"/>
                <w:szCs w:val="16"/>
              </w:rPr>
            </w:pPr>
            <w:r w:rsidRPr="000E2461">
              <w:rPr>
                <w:rFonts w:cs="Arial"/>
                <w:sz w:val="16"/>
                <w:szCs w:val="16"/>
              </w:rPr>
              <w:t>Displays originality &amp;/or novelty in some (MPhil)/most (PhD) of the following:</w:t>
            </w:r>
          </w:p>
        </w:tc>
      </w:tr>
      <w:tr w:rsidR="00643C9C" w:rsidRPr="000E2461" w:rsidTr="00944DDD">
        <w:trPr>
          <w:trHeight w:val="3375"/>
        </w:trPr>
        <w:tc>
          <w:tcPr>
            <w:tcW w:w="1380" w:type="dxa"/>
            <w:tcBorders>
              <w:top w:val="nil"/>
              <w:left w:val="single" w:sz="4" w:space="0" w:color="auto"/>
              <w:bottom w:val="single" w:sz="4" w:space="0" w:color="auto"/>
              <w:right w:val="nil"/>
            </w:tcBorders>
            <w:shd w:val="clear" w:color="auto" w:fill="auto"/>
            <w:noWrap/>
          </w:tcPr>
          <w:p w:rsidR="00643C9C" w:rsidRPr="000E2461" w:rsidRDefault="00643C9C" w:rsidP="00944DDD">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proofErr w:type="gramStart"/>
            <w:r w:rsidRPr="000E2461">
              <w:rPr>
                <w:rFonts w:cs="Arial"/>
                <w:sz w:val="16"/>
                <w:szCs w:val="16"/>
              </w:rPr>
              <w:t>structures/</w:t>
            </w:r>
            <w:proofErr w:type="gramEnd"/>
            <w:r w:rsidRPr="000E2461">
              <w:rPr>
                <w:rFonts w:cs="Arial"/>
                <w:sz w:val="16"/>
                <w:szCs w:val="16"/>
              </w:rPr>
              <w:t>theoretical frameworks. Proposes new areas for investigation/new problems/new methodological approaches</w:t>
            </w:r>
          </w:p>
        </w:tc>
        <w:tc>
          <w:tcPr>
            <w:tcW w:w="2620" w:type="dxa"/>
            <w:tcBorders>
              <w:top w:val="nil"/>
              <w:left w:val="nil"/>
              <w:bottom w:val="single" w:sz="4" w:space="0" w:color="auto"/>
              <w:right w:val="nil"/>
            </w:tcBorders>
            <w:shd w:val="clear" w:color="auto" w:fill="auto"/>
          </w:tcPr>
          <w:p w:rsidR="00643C9C" w:rsidRPr="000E2461" w:rsidRDefault="00643C9C" w:rsidP="00944DDD">
            <w:pPr>
              <w:rPr>
                <w:rFonts w:cs="Arial"/>
                <w:sz w:val="16"/>
                <w:szCs w:val="16"/>
              </w:rPr>
            </w:pPr>
            <w:r w:rsidRPr="000E2461">
              <w:rPr>
                <w:rFonts w:cs="Arial"/>
                <w:sz w:val="16"/>
                <w:szCs w:val="16"/>
              </w:rPr>
              <w:t>• Application of different existing methods/ instruments to known area of study</w:t>
            </w:r>
          </w:p>
          <w:p w:rsidR="00643C9C" w:rsidRPr="000E2461" w:rsidRDefault="00643C9C" w:rsidP="00944DDD">
            <w:pPr>
              <w:rPr>
                <w:rFonts w:cs="Arial"/>
                <w:sz w:val="16"/>
                <w:szCs w:val="16"/>
              </w:rPr>
            </w:pPr>
            <w:r w:rsidRPr="000E2461">
              <w:rPr>
                <w:rFonts w:cs="Arial"/>
                <w:sz w:val="16"/>
                <w:szCs w:val="16"/>
              </w:rPr>
              <w:t xml:space="preserve">• Transfer of existing methods/instruments to a different/related context </w:t>
            </w:r>
          </w:p>
          <w:p w:rsidR="00643C9C" w:rsidRPr="000E2461" w:rsidRDefault="00643C9C" w:rsidP="00944DDD">
            <w:pPr>
              <w:rPr>
                <w:rFonts w:cs="Arial"/>
                <w:sz w:val="16"/>
                <w:szCs w:val="16"/>
              </w:rPr>
            </w:pPr>
            <w:r w:rsidRPr="000E2461">
              <w:rPr>
                <w:rFonts w:cs="Arial"/>
                <w:sz w:val="16"/>
                <w:szCs w:val="16"/>
              </w:rPr>
              <w:t xml:space="preserve">• Development &amp;/or extension of existing knowledge &amp; theoretical perspectives </w:t>
            </w:r>
          </w:p>
          <w:p w:rsidR="00643C9C" w:rsidRPr="000E2461" w:rsidRDefault="00643C9C" w:rsidP="00944DDD">
            <w:pPr>
              <w:rPr>
                <w:rFonts w:cs="Arial"/>
                <w:sz w:val="16"/>
                <w:szCs w:val="16"/>
              </w:rPr>
            </w:pPr>
            <w:r w:rsidRPr="000E2461">
              <w:rPr>
                <w:rFonts w:cs="Arial"/>
                <w:sz w:val="16"/>
                <w:szCs w:val="16"/>
              </w:rPr>
              <w:t xml:space="preserve">• Application of existing research approaches to new populations </w:t>
            </w:r>
          </w:p>
          <w:p w:rsidR="00643C9C" w:rsidRPr="000E2461" w:rsidRDefault="00643C9C" w:rsidP="00944DDD">
            <w:pPr>
              <w:rPr>
                <w:rFonts w:cs="Arial"/>
                <w:sz w:val="16"/>
                <w:szCs w:val="16"/>
              </w:rPr>
            </w:pPr>
            <w:r w:rsidRPr="000E2461">
              <w:rPr>
                <w:rFonts w:cs="Arial"/>
                <w:sz w:val="16"/>
                <w:szCs w:val="16"/>
              </w:rPr>
              <w:t xml:space="preserve">• New attempts to corroborate earlier work </w:t>
            </w:r>
          </w:p>
          <w:p w:rsidR="00643C9C" w:rsidRPr="000E2461" w:rsidRDefault="00643C9C" w:rsidP="00944DDD">
            <w:pPr>
              <w:rPr>
                <w:rFonts w:cs="Arial"/>
                <w:sz w:val="16"/>
                <w:szCs w:val="16"/>
              </w:rPr>
            </w:pPr>
            <w:r w:rsidRPr="000E2461">
              <w:rPr>
                <w:rFonts w:cs="Arial"/>
                <w:sz w:val="16"/>
                <w:szCs w:val="16"/>
              </w:rPr>
              <w:t xml:space="preserve">• Identifies implications for existing theory &amp; knowledge structures </w:t>
            </w:r>
          </w:p>
          <w:p w:rsidR="00643C9C" w:rsidRPr="000E2461" w:rsidRDefault="00643C9C" w:rsidP="00944DDD">
            <w:pPr>
              <w:rPr>
                <w:rFonts w:cs="Arial"/>
                <w:sz w:val="16"/>
                <w:szCs w:val="16"/>
              </w:rPr>
            </w:pPr>
            <w:r w:rsidRPr="000E2461">
              <w:rPr>
                <w:rFonts w:cs="Arial"/>
                <w:sz w:val="16"/>
                <w:szCs w:val="16"/>
              </w:rPr>
              <w:t>• Identifies new areas for investigation</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944DDD">
            <w:pPr>
              <w:rPr>
                <w:rFonts w:cs="Arial"/>
                <w:sz w:val="16"/>
                <w:szCs w:val="16"/>
              </w:rPr>
            </w:pPr>
            <w:r w:rsidRPr="000E2461">
              <w:rPr>
                <w:rFonts w:cs="Arial"/>
                <w:sz w:val="16"/>
                <w:szCs w:val="16"/>
              </w:rPr>
              <w:t xml:space="preserve">• Topic/focus of study </w:t>
            </w:r>
          </w:p>
          <w:p w:rsidR="00643C9C" w:rsidRPr="000E2461" w:rsidRDefault="00643C9C" w:rsidP="00944DDD">
            <w:pPr>
              <w:rPr>
                <w:rFonts w:cs="Arial"/>
                <w:sz w:val="16"/>
                <w:szCs w:val="16"/>
              </w:rPr>
            </w:pPr>
            <w:r w:rsidRPr="000E2461">
              <w:rPr>
                <w:rFonts w:cs="Arial"/>
                <w:sz w:val="16"/>
                <w:szCs w:val="16"/>
              </w:rPr>
              <w:t xml:space="preserve">• Development &amp; application of new methods/instruments for investigation </w:t>
            </w:r>
          </w:p>
          <w:p w:rsidR="00643C9C" w:rsidRPr="000E2461" w:rsidRDefault="00643C9C" w:rsidP="00944DDD">
            <w:pPr>
              <w:rPr>
                <w:rFonts w:cs="Arial"/>
                <w:sz w:val="16"/>
                <w:szCs w:val="16"/>
              </w:rPr>
            </w:pPr>
            <w:r w:rsidRPr="000E2461">
              <w:rPr>
                <w:rFonts w:cs="Arial"/>
                <w:sz w:val="16"/>
                <w:szCs w:val="16"/>
              </w:rPr>
              <w:t xml:space="preserve">• Application of existing instruments/methods to new/original contexts </w:t>
            </w:r>
          </w:p>
          <w:p w:rsidR="00643C9C" w:rsidRPr="000E2461" w:rsidRDefault="00643C9C" w:rsidP="00944DDD">
            <w:pPr>
              <w:rPr>
                <w:rFonts w:cs="Arial"/>
                <w:sz w:val="16"/>
                <w:szCs w:val="16"/>
              </w:rPr>
            </w:pPr>
            <w:r w:rsidRPr="000E2461">
              <w:rPr>
                <w:rFonts w:cs="Arial"/>
                <w:sz w:val="16"/>
                <w:szCs w:val="16"/>
              </w:rPr>
              <w:t xml:space="preserve">• Development of new knowledge &amp;/or theoretical insights </w:t>
            </w:r>
          </w:p>
          <w:p w:rsidR="00643C9C" w:rsidRPr="000E2461" w:rsidRDefault="00643C9C" w:rsidP="00944DDD">
            <w:pPr>
              <w:rPr>
                <w:rFonts w:cs="Arial"/>
                <w:sz w:val="16"/>
                <w:szCs w:val="16"/>
              </w:rPr>
            </w:pPr>
            <w:r w:rsidRPr="000E2461">
              <w:rPr>
                <w:rFonts w:cs="Arial"/>
                <w:sz w:val="16"/>
                <w:szCs w:val="16"/>
              </w:rPr>
              <w:t xml:space="preserve">• New attempts to critically question &amp; re-examine earlier research work </w:t>
            </w:r>
          </w:p>
          <w:p w:rsidR="00643C9C" w:rsidRPr="000E2461" w:rsidRDefault="00643C9C" w:rsidP="00944DDD">
            <w:pPr>
              <w:rPr>
                <w:rFonts w:cs="Arial"/>
                <w:sz w:val="16"/>
                <w:szCs w:val="16"/>
              </w:rPr>
            </w:pPr>
            <w:r w:rsidRPr="000E2461">
              <w:rPr>
                <w:rFonts w:cs="Arial"/>
                <w:sz w:val="16"/>
                <w:szCs w:val="16"/>
              </w:rPr>
              <w:t xml:space="preserve">• Critically examines the implications of the outcomes &amp; proposes new theoretical perspectives &amp; knowledge structures </w:t>
            </w:r>
          </w:p>
          <w:p w:rsidR="00643C9C" w:rsidRPr="000E2461" w:rsidRDefault="00643C9C" w:rsidP="00944DDD">
            <w:pPr>
              <w:rPr>
                <w:rFonts w:cs="Arial"/>
                <w:sz w:val="16"/>
                <w:szCs w:val="16"/>
              </w:rPr>
            </w:pPr>
            <w:r w:rsidRPr="000E2461">
              <w:rPr>
                <w:rFonts w:cs="Arial"/>
                <w:sz w:val="16"/>
                <w:szCs w:val="16"/>
              </w:rPr>
              <w:t>• Opens up new areas for fundamental &amp; significant research</w:t>
            </w:r>
          </w:p>
        </w:tc>
      </w:tr>
    </w:tbl>
    <w:p w:rsidR="00643C9C" w:rsidRDefault="00380FB9" w:rsidP="00643C9C">
      <w:pPr>
        <w:rPr>
          <w:rFonts w:cs="Arial"/>
        </w:rPr>
      </w:pPr>
      <w:r>
        <w:rPr>
          <w:rFonts w:cs="Arial"/>
        </w:rPr>
        <w:lastRenderedPageBreak/>
        <w:t>(Table taken from Leeds Beckett</w:t>
      </w:r>
      <w:r w:rsidR="00643C9C" w:rsidRPr="000E2461">
        <w:rPr>
          <w:rFonts w:cs="Arial"/>
        </w:rPr>
        <w:t xml:space="preserve"> Taxonomy)</w:t>
      </w:r>
    </w:p>
    <w:p w:rsidR="00643C9C" w:rsidRPr="000E2461" w:rsidRDefault="00643C9C" w:rsidP="00643C9C">
      <w:pPr>
        <w:rPr>
          <w:rFonts w:cs="Arial"/>
        </w:rPr>
      </w:pPr>
      <w:r>
        <w:rPr>
          <w:rFonts w:cs="Arial"/>
        </w:rPr>
        <w:t>Reference should also be made to the QAA Framework of Higher Education Qualifications (extract below).</w:t>
      </w:r>
    </w:p>
    <w:p w:rsidR="00643C9C" w:rsidRDefault="00643C9C" w:rsidP="00643C9C"/>
    <w:p w:rsidR="00643C9C" w:rsidRDefault="00643C9C" w:rsidP="00643C9C">
      <w:pPr>
        <w:rPr>
          <w:b/>
        </w:rPr>
      </w:pPr>
      <w:r w:rsidRPr="00D953AE">
        <w:rPr>
          <w:b/>
        </w:rPr>
        <w:t>Extract from the ‘Framework for Higher Education Qualifications in England, Wales and Northern Ireland’ – August 2008   “Descriptor for higher ed</w:t>
      </w:r>
      <w:r>
        <w:rPr>
          <w:b/>
        </w:rPr>
        <w:t xml:space="preserve">ucation qualification at level 7: </w:t>
      </w:r>
      <w:bookmarkStart w:id="2" w:name="_GoBack"/>
      <w:r>
        <w:rPr>
          <w:b/>
        </w:rPr>
        <w:t>Master</w:t>
      </w:r>
      <w:bookmarkEnd w:id="2"/>
      <w:r>
        <w:rPr>
          <w:b/>
        </w:rPr>
        <w:t>s</w:t>
      </w:r>
      <w:r w:rsidRPr="00D953AE">
        <w:rPr>
          <w:b/>
        </w:rPr>
        <w:t xml:space="preserve"> Degree”.</w:t>
      </w:r>
    </w:p>
    <w:p w:rsidR="00643C9C" w:rsidRDefault="00643C9C" w:rsidP="00643C9C">
      <w:pPr>
        <w:rPr>
          <w:b/>
        </w:rPr>
      </w:pPr>
    </w:p>
    <w:p w:rsidR="00643C9C" w:rsidRPr="003A5ADE" w:rsidRDefault="00643C9C" w:rsidP="00643C9C">
      <w:pPr>
        <w:pStyle w:val="Heading3"/>
        <w:shd w:val="clear" w:color="auto" w:fill="CCCCCC"/>
        <w:rPr>
          <w:rFonts w:ascii="Calibri" w:hAnsi="Calibri"/>
          <w:sz w:val="22"/>
          <w:szCs w:val="22"/>
        </w:rPr>
      </w:pPr>
      <w:bookmarkStart w:id="3" w:name="p4.4"/>
      <w:bookmarkEnd w:id="3"/>
      <w:r w:rsidRPr="003A5ADE">
        <w:rPr>
          <w:rFonts w:ascii="Calibri" w:hAnsi="Calibri"/>
          <w:sz w:val="22"/>
          <w:szCs w:val="22"/>
        </w:rPr>
        <w:t xml:space="preserve">Descriptor for a higher education qualification at level 7: </w:t>
      </w:r>
      <w:proofErr w:type="spellStart"/>
      <w:r w:rsidRPr="003A5ADE">
        <w:rPr>
          <w:rFonts w:ascii="Calibri" w:hAnsi="Calibri"/>
          <w:sz w:val="22"/>
          <w:szCs w:val="22"/>
        </w:rPr>
        <w:t>Masters</w:t>
      </w:r>
      <w:proofErr w:type="spellEnd"/>
      <w:r w:rsidRPr="003A5ADE">
        <w:rPr>
          <w:rFonts w:ascii="Calibri" w:hAnsi="Calibri"/>
          <w:sz w:val="22"/>
          <w:szCs w:val="22"/>
        </w:rPr>
        <w:t xml:space="preserve"> degree </w:t>
      </w:r>
    </w:p>
    <w:p w:rsidR="00643C9C" w:rsidRPr="003A5ADE" w:rsidRDefault="00643C9C" w:rsidP="00643C9C">
      <w:pPr>
        <w:pStyle w:val="NormalWeb"/>
        <w:shd w:val="clear" w:color="auto" w:fill="CCCCCC"/>
        <w:rPr>
          <w:rFonts w:ascii="Calibri" w:hAnsi="Calibri"/>
          <w:sz w:val="22"/>
          <w:szCs w:val="22"/>
        </w:rPr>
      </w:pPr>
      <w:r w:rsidRPr="003A5ADE">
        <w:rPr>
          <w:rFonts w:ascii="Calibri" w:hAnsi="Calibri"/>
          <w:sz w:val="22"/>
          <w:szCs w:val="22"/>
        </w:rPr>
        <w:t xml:space="preserve">The descriptor provided for this level of the framework is for any </w:t>
      </w:r>
      <w:proofErr w:type="spellStart"/>
      <w:r w:rsidR="00380FB9">
        <w:rPr>
          <w:rFonts w:ascii="Calibri" w:hAnsi="Calibri"/>
          <w:sz w:val="22"/>
          <w:szCs w:val="22"/>
        </w:rPr>
        <w:t>Masters</w:t>
      </w:r>
      <w:proofErr w:type="spellEnd"/>
      <w:r w:rsidRPr="003A5ADE">
        <w:rPr>
          <w:rFonts w:ascii="Calibri" w:hAnsi="Calibri"/>
          <w:sz w:val="22"/>
          <w:szCs w:val="22"/>
        </w:rPr>
        <w:t xml:space="preserve"> degree which should meet the descriptor in full. This qualification descriptor can also be used as a reference point for other level 7 qualifications, including postgraduate certificates and postgraduate diplomas. </w:t>
      </w:r>
    </w:p>
    <w:p w:rsidR="00643C9C" w:rsidRPr="003A5ADE" w:rsidRDefault="00380FB9" w:rsidP="00643C9C">
      <w:pPr>
        <w:pStyle w:val="Heading4"/>
        <w:shd w:val="clear" w:color="auto" w:fill="CCCCCC"/>
        <w:rPr>
          <w:rFonts w:ascii="Calibri" w:hAnsi="Calibri" w:cs="Arial"/>
          <w:sz w:val="22"/>
          <w:szCs w:val="22"/>
        </w:rPr>
      </w:pPr>
      <w:r>
        <w:rPr>
          <w:rFonts w:ascii="Calibri" w:hAnsi="Calibri" w:cs="Arial"/>
          <w:sz w:val="22"/>
          <w:szCs w:val="22"/>
        </w:rPr>
        <w:t>Masters</w:t>
      </w:r>
      <w:r w:rsidR="00643C9C" w:rsidRPr="003A5ADE">
        <w:rPr>
          <w:rFonts w:ascii="Calibri" w:hAnsi="Calibri" w:cs="Arial"/>
          <w:sz w:val="22"/>
          <w:szCs w:val="22"/>
        </w:rPr>
        <w:t xml:space="preserve"> degrees are awarded to students who have demonstrated: </w:t>
      </w:r>
    </w:p>
    <w:p w:rsidR="00643C9C" w:rsidRPr="003A5ADE" w:rsidRDefault="00643C9C" w:rsidP="00643C9C">
      <w:pPr>
        <w:numPr>
          <w:ilvl w:val="0"/>
          <w:numId w:val="3"/>
        </w:numPr>
        <w:shd w:val="clear" w:color="auto" w:fill="CCCCCC"/>
        <w:spacing w:before="100" w:beforeAutospacing="1" w:after="100" w:afterAutospacing="1" w:line="240" w:lineRule="auto"/>
        <w:ind w:hanging="720"/>
        <w:rPr>
          <w:rFonts w:cs="Arial"/>
        </w:rPr>
      </w:pPr>
      <w:r w:rsidRPr="003A5ADE">
        <w:rPr>
          <w:rFonts w:cs="Arial"/>
        </w:rPr>
        <w:t xml:space="preserve">a systematic understanding of knowledge, and a critical awareness of current problems and/or new insights, much of which is at, or informed by, the forefront of their academic discipline, field of study or area of professional practice </w:t>
      </w:r>
    </w:p>
    <w:p w:rsidR="00643C9C" w:rsidRPr="003A5ADE" w:rsidRDefault="00643C9C" w:rsidP="00643C9C">
      <w:pPr>
        <w:numPr>
          <w:ilvl w:val="0"/>
          <w:numId w:val="3"/>
        </w:numPr>
        <w:shd w:val="clear" w:color="auto" w:fill="CCCCCC"/>
        <w:spacing w:before="100" w:beforeAutospacing="1" w:after="100" w:afterAutospacing="1" w:line="240" w:lineRule="auto"/>
        <w:ind w:hanging="720"/>
        <w:rPr>
          <w:rFonts w:cs="Arial"/>
        </w:rPr>
      </w:pPr>
      <w:r w:rsidRPr="003A5ADE">
        <w:rPr>
          <w:rFonts w:cs="Arial"/>
        </w:rPr>
        <w:t xml:space="preserve">a comprehensive understanding of techniques applicable to their own research or advanced scholarship </w:t>
      </w:r>
    </w:p>
    <w:p w:rsidR="00643C9C" w:rsidRPr="003A5ADE" w:rsidRDefault="00643C9C" w:rsidP="00643C9C">
      <w:pPr>
        <w:numPr>
          <w:ilvl w:val="0"/>
          <w:numId w:val="3"/>
        </w:numPr>
        <w:shd w:val="clear" w:color="auto" w:fill="CCCCCC"/>
        <w:spacing w:before="100" w:beforeAutospacing="1" w:after="100" w:afterAutospacing="1" w:line="240" w:lineRule="auto"/>
        <w:ind w:hanging="720"/>
        <w:rPr>
          <w:rFonts w:cs="Arial"/>
        </w:rPr>
      </w:pPr>
      <w:r w:rsidRPr="003A5ADE">
        <w:rPr>
          <w:rFonts w:cs="Arial"/>
        </w:rPr>
        <w:t xml:space="preserve">originality in the application of knowledge, together with a practical understanding of how established techniques of research and enquiry are used to create and interpret knowledge in the discipline </w:t>
      </w:r>
    </w:p>
    <w:p w:rsidR="00643C9C" w:rsidRPr="003A5ADE" w:rsidRDefault="00643C9C" w:rsidP="00643C9C">
      <w:pPr>
        <w:numPr>
          <w:ilvl w:val="0"/>
          <w:numId w:val="3"/>
        </w:numPr>
        <w:shd w:val="clear" w:color="auto" w:fill="CCCCCC"/>
        <w:tabs>
          <w:tab w:val="clear" w:pos="720"/>
          <w:tab w:val="num" w:pos="0"/>
        </w:tabs>
        <w:spacing w:before="100" w:beforeAutospacing="1" w:after="100" w:afterAutospacing="1" w:line="240" w:lineRule="auto"/>
        <w:ind w:left="0" w:firstLine="0"/>
        <w:rPr>
          <w:rFonts w:cs="Arial"/>
        </w:rPr>
      </w:pPr>
      <w:r w:rsidRPr="003A5ADE">
        <w:rPr>
          <w:rFonts w:cs="Arial"/>
        </w:rPr>
        <w:t xml:space="preserve">conceptual understanding that enables the student: </w:t>
      </w:r>
    </w:p>
    <w:p w:rsidR="00643C9C" w:rsidRPr="003A5ADE"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r w:rsidRPr="003A5ADE">
        <w:rPr>
          <w:rFonts w:cs="Arial"/>
        </w:rPr>
        <w:t xml:space="preserve">to evaluate critically current research and advanced scholarship in the discipline </w:t>
      </w:r>
    </w:p>
    <w:p w:rsidR="00643C9C" w:rsidRPr="003A5ADE"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proofErr w:type="gramStart"/>
      <w:r w:rsidRPr="003A5ADE">
        <w:rPr>
          <w:rFonts w:cs="Arial"/>
        </w:rPr>
        <w:t>to</w:t>
      </w:r>
      <w:proofErr w:type="gramEnd"/>
      <w:r w:rsidRPr="003A5ADE">
        <w:rPr>
          <w:rFonts w:cs="Arial"/>
        </w:rPr>
        <w:t xml:space="preserve"> evaluate methodologies and develop critiques of them and, where appropriate, to propose new hypotheses. </w:t>
      </w:r>
    </w:p>
    <w:p w:rsidR="00643C9C" w:rsidRPr="003A5ADE" w:rsidRDefault="00643C9C" w:rsidP="00643C9C">
      <w:pPr>
        <w:pStyle w:val="Heading4"/>
        <w:shd w:val="clear" w:color="auto" w:fill="CCCCCC"/>
        <w:rPr>
          <w:rFonts w:ascii="Calibri" w:hAnsi="Calibri"/>
          <w:sz w:val="22"/>
          <w:szCs w:val="22"/>
        </w:rPr>
      </w:pPr>
      <w:r w:rsidRPr="003A5ADE">
        <w:rPr>
          <w:rFonts w:ascii="Calibri" w:hAnsi="Calibri"/>
          <w:sz w:val="22"/>
          <w:szCs w:val="22"/>
        </w:rPr>
        <w:t xml:space="preserve">Typically, holders of the qualification will be able to: </w:t>
      </w:r>
    </w:p>
    <w:p w:rsidR="00643C9C" w:rsidRPr="003A5ADE" w:rsidRDefault="00643C9C" w:rsidP="00643C9C">
      <w:pPr>
        <w:pStyle w:val="Heading4"/>
        <w:shd w:val="clear" w:color="auto" w:fill="CCCCCC"/>
        <w:rPr>
          <w:rFonts w:ascii="Calibri" w:hAnsi="Calibri"/>
          <w:sz w:val="22"/>
          <w:szCs w:val="22"/>
        </w:rPr>
      </w:pPr>
      <w:proofErr w:type="gramStart"/>
      <w:r w:rsidRPr="003A5ADE">
        <w:rPr>
          <w:rFonts w:ascii="Calibri" w:hAnsi="Calibri"/>
          <w:sz w:val="22"/>
          <w:szCs w:val="22"/>
        </w:rPr>
        <w:t>deal</w:t>
      </w:r>
      <w:proofErr w:type="gramEnd"/>
      <w:r w:rsidRPr="003A5ADE">
        <w:rPr>
          <w:rFonts w:ascii="Calibri" w:hAnsi="Calibri"/>
          <w:sz w:val="22"/>
          <w:szCs w:val="22"/>
        </w:rPr>
        <w:t xml:space="preserve"> with complex issues both systematically and creatively, make sound judgements in the absence of complete data, and communicate their conclusions clearly to specialist and non-specialist audiences </w:t>
      </w:r>
    </w:p>
    <w:p w:rsidR="00643C9C" w:rsidRPr="003A5ADE" w:rsidRDefault="00643C9C" w:rsidP="00643C9C">
      <w:pPr>
        <w:numPr>
          <w:ilvl w:val="0"/>
          <w:numId w:val="4"/>
        </w:numPr>
        <w:shd w:val="clear" w:color="auto" w:fill="CCCCCC"/>
        <w:spacing w:before="100" w:beforeAutospacing="1" w:after="100" w:afterAutospacing="1" w:line="240" w:lineRule="auto"/>
        <w:ind w:hanging="720"/>
        <w:rPr>
          <w:rFonts w:cs="Arial"/>
        </w:rPr>
      </w:pPr>
      <w:r w:rsidRPr="003A5ADE">
        <w:rPr>
          <w:rFonts w:cs="Arial"/>
        </w:rPr>
        <w:t xml:space="preserve">demonstrate self-direction and originality in tackling and solving problems, and act autonomously in planning and implementing tasks at a professional or equivalent level </w:t>
      </w:r>
    </w:p>
    <w:p w:rsidR="003A5ADE" w:rsidRPr="003A5ADE" w:rsidRDefault="00643C9C" w:rsidP="00643C9C">
      <w:pPr>
        <w:numPr>
          <w:ilvl w:val="0"/>
          <w:numId w:val="4"/>
        </w:numPr>
        <w:shd w:val="clear" w:color="auto" w:fill="CCCCCC"/>
        <w:tabs>
          <w:tab w:val="clear" w:pos="720"/>
        </w:tabs>
        <w:spacing w:before="100" w:beforeAutospacing="1" w:after="100" w:afterAutospacing="1" w:line="240" w:lineRule="auto"/>
        <w:ind w:hanging="720"/>
        <w:rPr>
          <w:rFonts w:cs="Arial"/>
        </w:rPr>
      </w:pPr>
      <w:proofErr w:type="gramStart"/>
      <w:r w:rsidRPr="003A5ADE">
        <w:t>continue</w:t>
      </w:r>
      <w:proofErr w:type="gramEnd"/>
      <w:r w:rsidRPr="003A5ADE">
        <w:t xml:space="preserve"> to advance their knowledge and understanding, and to develop new skills to a high level. </w:t>
      </w:r>
    </w:p>
    <w:p w:rsidR="00643C9C" w:rsidRPr="003A5ADE" w:rsidRDefault="00643C9C" w:rsidP="003A5ADE">
      <w:pPr>
        <w:shd w:val="clear" w:color="auto" w:fill="CCCCCC"/>
        <w:spacing w:before="100" w:beforeAutospacing="1" w:after="100" w:afterAutospacing="1" w:line="240" w:lineRule="auto"/>
        <w:ind w:left="720"/>
        <w:rPr>
          <w:rFonts w:cs="Arial"/>
        </w:rPr>
      </w:pPr>
      <w:r w:rsidRPr="003A5ADE">
        <w:t xml:space="preserve">And holders will have: </w:t>
      </w:r>
    </w:p>
    <w:p w:rsidR="00643C9C" w:rsidRPr="003A5ADE" w:rsidRDefault="00643C9C" w:rsidP="00643C9C">
      <w:pPr>
        <w:numPr>
          <w:ilvl w:val="0"/>
          <w:numId w:val="5"/>
        </w:numPr>
        <w:shd w:val="clear" w:color="auto" w:fill="CCCCCC"/>
        <w:spacing w:before="100" w:beforeAutospacing="1" w:after="100" w:afterAutospacing="1" w:line="240" w:lineRule="auto"/>
        <w:ind w:hanging="720"/>
        <w:rPr>
          <w:rFonts w:cs="Arial"/>
        </w:rPr>
      </w:pPr>
      <w:r w:rsidRPr="003A5ADE">
        <w:rPr>
          <w:rFonts w:cs="Arial"/>
        </w:rPr>
        <w:t xml:space="preserve">the qualities and transferable skills necessary for employment requiring: </w:t>
      </w:r>
    </w:p>
    <w:p w:rsidR="00643C9C" w:rsidRPr="003A5ADE" w:rsidRDefault="00643C9C" w:rsidP="00643C9C">
      <w:pPr>
        <w:numPr>
          <w:ilvl w:val="1"/>
          <w:numId w:val="5"/>
        </w:numPr>
        <w:shd w:val="clear" w:color="auto" w:fill="CCCCCC"/>
        <w:spacing w:before="100" w:beforeAutospacing="1" w:after="100" w:afterAutospacing="1" w:line="240" w:lineRule="auto"/>
        <w:ind w:hanging="540"/>
        <w:rPr>
          <w:rFonts w:cs="Arial"/>
        </w:rPr>
      </w:pPr>
      <w:r w:rsidRPr="003A5ADE">
        <w:rPr>
          <w:rFonts w:cs="Arial"/>
        </w:rPr>
        <w:t xml:space="preserve">the exercise of initiative and personal responsibility </w:t>
      </w:r>
    </w:p>
    <w:p w:rsidR="00643C9C" w:rsidRPr="003A5ADE" w:rsidRDefault="00643C9C" w:rsidP="00643C9C">
      <w:pPr>
        <w:numPr>
          <w:ilvl w:val="1"/>
          <w:numId w:val="5"/>
        </w:numPr>
        <w:shd w:val="clear" w:color="auto" w:fill="CCCCCC"/>
        <w:spacing w:before="100" w:beforeAutospacing="1" w:after="100" w:afterAutospacing="1" w:line="240" w:lineRule="auto"/>
        <w:ind w:hanging="540"/>
        <w:rPr>
          <w:rFonts w:cs="Arial"/>
        </w:rPr>
      </w:pPr>
      <w:r w:rsidRPr="003A5ADE">
        <w:rPr>
          <w:rFonts w:cs="Arial"/>
        </w:rPr>
        <w:t xml:space="preserve">decision-making in complex and unpredictable situations </w:t>
      </w:r>
    </w:p>
    <w:p w:rsidR="00643C9C" w:rsidRPr="003A5ADE" w:rsidRDefault="00643C9C" w:rsidP="00643C9C">
      <w:pPr>
        <w:numPr>
          <w:ilvl w:val="1"/>
          <w:numId w:val="5"/>
        </w:numPr>
        <w:shd w:val="clear" w:color="auto" w:fill="CCCCCC"/>
        <w:spacing w:before="100" w:beforeAutospacing="1" w:after="100" w:afterAutospacing="1" w:line="240" w:lineRule="auto"/>
        <w:ind w:hanging="540"/>
        <w:rPr>
          <w:rFonts w:cs="Arial"/>
        </w:rPr>
      </w:pPr>
      <w:proofErr w:type="gramStart"/>
      <w:r w:rsidRPr="003A5ADE">
        <w:rPr>
          <w:rFonts w:cs="Arial"/>
        </w:rPr>
        <w:t>the</w:t>
      </w:r>
      <w:proofErr w:type="gramEnd"/>
      <w:r w:rsidRPr="003A5ADE">
        <w:rPr>
          <w:rFonts w:cs="Arial"/>
        </w:rPr>
        <w:t xml:space="preserve"> independent learning ability required for continuing professional development. </w:t>
      </w:r>
    </w:p>
    <w:p w:rsidR="00643C9C" w:rsidRPr="003A5ADE" w:rsidRDefault="00643C9C" w:rsidP="00643C9C">
      <w:pPr>
        <w:pStyle w:val="NormalWeb"/>
        <w:rPr>
          <w:rFonts w:ascii="Calibri" w:hAnsi="Calibri"/>
          <w:sz w:val="22"/>
          <w:szCs w:val="22"/>
        </w:rPr>
      </w:pPr>
      <w:r w:rsidRPr="003A5ADE">
        <w:rPr>
          <w:rFonts w:ascii="Calibri" w:hAnsi="Calibri"/>
          <w:sz w:val="22"/>
          <w:szCs w:val="22"/>
        </w:rPr>
        <w:lastRenderedPageBreak/>
        <w:t xml:space="preserve">39 Much of the study undertaken for </w:t>
      </w:r>
      <w:r w:rsidR="00380FB9">
        <w:rPr>
          <w:rFonts w:ascii="Calibri" w:hAnsi="Calibri"/>
          <w:sz w:val="22"/>
          <w:szCs w:val="22"/>
        </w:rPr>
        <w:t>Masters</w:t>
      </w:r>
      <w:r w:rsidRPr="003A5ADE">
        <w:rPr>
          <w:rFonts w:ascii="Calibri" w:hAnsi="Calibri"/>
          <w:sz w:val="22"/>
          <w:szCs w:val="22"/>
        </w:rPr>
        <w:t xml:space="preserve"> </w:t>
      </w:r>
      <w:proofErr w:type="gramStart"/>
      <w:r w:rsidRPr="003A5ADE">
        <w:rPr>
          <w:rFonts w:ascii="Calibri" w:hAnsi="Calibri"/>
          <w:sz w:val="22"/>
          <w:szCs w:val="22"/>
        </w:rPr>
        <w:t>degrees</w:t>
      </w:r>
      <w:proofErr w:type="gramEnd"/>
      <w:r w:rsidRPr="003A5ADE">
        <w:rPr>
          <w:rFonts w:ascii="Calibri" w:hAnsi="Calibri"/>
          <w:sz w:val="22"/>
          <w:szCs w:val="22"/>
        </w:rPr>
        <w:t xml:space="preserve"> will have been at, or informed by, the forefront of an academic or professional discipline. Students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40 </w:t>
      </w:r>
      <w:r w:rsidR="00380FB9">
        <w:rPr>
          <w:rFonts w:ascii="Calibri" w:hAnsi="Calibri"/>
          <w:sz w:val="22"/>
          <w:szCs w:val="22"/>
        </w:rPr>
        <w:t>Masters</w:t>
      </w:r>
      <w:r w:rsidRPr="003A5ADE">
        <w:rPr>
          <w:rFonts w:ascii="Calibri" w:hAnsi="Calibri"/>
          <w:sz w:val="22"/>
          <w:szCs w:val="22"/>
        </w:rPr>
        <w:t xml:space="preserve"> </w:t>
      </w:r>
      <w:proofErr w:type="gramStart"/>
      <w:r w:rsidRPr="003A5ADE">
        <w:rPr>
          <w:rFonts w:ascii="Calibri" w:hAnsi="Calibri"/>
          <w:sz w:val="22"/>
          <w:szCs w:val="22"/>
        </w:rPr>
        <w:t>degrees</w:t>
      </w:r>
      <w:proofErr w:type="gramEnd"/>
      <w:r w:rsidRPr="003A5ADE">
        <w:rPr>
          <w:rFonts w:ascii="Calibri" w:hAnsi="Calibri"/>
          <w:sz w:val="22"/>
          <w:szCs w:val="22"/>
        </w:rPr>
        <w:t xml:space="preserve"> are awarded after completion of taught courses, programmes of research or a mixture of both. Longer, research-based programmes may lead to the degree of MPhil. The learning outcomes of most </w:t>
      </w:r>
      <w:proofErr w:type="spellStart"/>
      <w:r w:rsidR="00380FB9">
        <w:rPr>
          <w:rFonts w:ascii="Calibri" w:hAnsi="Calibri"/>
          <w:sz w:val="22"/>
          <w:szCs w:val="22"/>
        </w:rPr>
        <w:t>Masters</w:t>
      </w:r>
      <w:proofErr w:type="spellEnd"/>
      <w:r w:rsidRPr="003A5ADE">
        <w:rPr>
          <w:rFonts w:ascii="Calibri" w:hAnsi="Calibri"/>
          <w:sz w:val="22"/>
          <w:szCs w:val="22"/>
        </w:rPr>
        <w:t xml:space="preserve"> </w:t>
      </w:r>
      <w:proofErr w:type="gramStart"/>
      <w:r w:rsidRPr="003A5ADE">
        <w:rPr>
          <w:rFonts w:ascii="Calibri" w:hAnsi="Calibri"/>
          <w:sz w:val="22"/>
          <w:szCs w:val="22"/>
        </w:rPr>
        <w:t>degree</w:t>
      </w:r>
      <w:proofErr w:type="gramEnd"/>
      <w:r w:rsidRPr="003A5ADE">
        <w:rPr>
          <w:rFonts w:ascii="Calibri" w:hAnsi="Calibri"/>
          <w:sz w:val="22"/>
          <w:szCs w:val="22"/>
        </w:rPr>
        <w:t xml:space="preserve"> courses are achieved on the basis of study equivalent to at least one full-time calendar year and are taken by graduates with a bachelor's degree with honours (or equivalent achievement).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41 </w:t>
      </w:r>
      <w:r w:rsidR="00380FB9">
        <w:rPr>
          <w:rFonts w:ascii="Calibri" w:hAnsi="Calibri"/>
          <w:sz w:val="22"/>
          <w:szCs w:val="22"/>
        </w:rPr>
        <w:t>Masters</w:t>
      </w:r>
      <w:r w:rsidRPr="003A5ADE">
        <w:rPr>
          <w:rFonts w:ascii="Calibri" w:hAnsi="Calibri"/>
          <w:sz w:val="22"/>
          <w:szCs w:val="22"/>
        </w:rPr>
        <w:t xml:space="preserve">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complexity and density of study. </w:t>
      </w:r>
      <w:r w:rsidR="00380FB9">
        <w:rPr>
          <w:rFonts w:ascii="Calibri" w:hAnsi="Calibri"/>
          <w:sz w:val="22"/>
          <w:szCs w:val="22"/>
        </w:rPr>
        <w:t>Masters</w:t>
      </w:r>
      <w:r w:rsidRPr="003A5ADE">
        <w:rPr>
          <w:rFonts w:ascii="Calibri" w:hAnsi="Calibri"/>
          <w:sz w:val="22"/>
          <w:szCs w:val="22"/>
        </w:rPr>
        <w:t xml:space="preserve"> degrees - in comparison to postgraduate certificates and postgraduate diplomas - typically include planned intellectual progression that often includes a synoptic/research or scholarly activity.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42 Some </w:t>
      </w:r>
      <w:r w:rsidR="00380FB9">
        <w:rPr>
          <w:rFonts w:ascii="Calibri" w:hAnsi="Calibri"/>
          <w:sz w:val="22"/>
          <w:szCs w:val="22"/>
        </w:rPr>
        <w:t>Masters</w:t>
      </w:r>
      <w:r w:rsidRPr="003A5ADE">
        <w:rPr>
          <w:rFonts w:ascii="Calibri" w:hAnsi="Calibri"/>
          <w:sz w:val="22"/>
          <w:szCs w:val="22"/>
        </w:rPr>
        <w:t xml:space="preserve"> degrees, for example in science, engineering and mathematics, comprise an integrated programme of study spanning several levels where the outcomes are normally achieved through study equivalent to four full-time academic years. While the final outcomes of the qualifications themselves meet the expectations of the descriptor for a higher education qualification at level 7 in full, such qualifications are often termed 'integrated </w:t>
      </w:r>
      <w:r w:rsidR="00380FB9">
        <w:rPr>
          <w:rFonts w:ascii="Calibri" w:hAnsi="Calibri"/>
          <w:sz w:val="22"/>
          <w:szCs w:val="22"/>
        </w:rPr>
        <w:t>Masters</w:t>
      </w:r>
      <w:r w:rsidRPr="003A5ADE">
        <w:rPr>
          <w:rFonts w:ascii="Calibri" w:hAnsi="Calibri"/>
          <w:sz w:val="22"/>
          <w:szCs w:val="22"/>
        </w:rPr>
        <w:t xml:space="preserve">' as an acknowledgement of the additional period of study at lower levels (which typically meets the expectations of the descriptor for a higher education qualification at level 6).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43 First degrees in medicine, dentistry and veterinary science comprise an integrated programme of study and professional practice spanning several levels. While the final outcomes of the qualifications themselves typically meet the expectations of the descriptor for a higher education qualification at level 7, these qualifications may often retain, for historical reasons, titles of Bachelor of Medicine, and Bachelor of Surgery, Bachelor of Dental Surgery, Bachelor of Veterinary Medicine or Bachelor of Veterinary Science, and are abbreviated to </w:t>
      </w:r>
      <w:proofErr w:type="spellStart"/>
      <w:r w:rsidRPr="003A5ADE">
        <w:rPr>
          <w:rFonts w:ascii="Calibri" w:hAnsi="Calibri"/>
          <w:sz w:val="22"/>
          <w:szCs w:val="22"/>
        </w:rPr>
        <w:t>MBChB</w:t>
      </w:r>
      <w:proofErr w:type="spellEnd"/>
      <w:r w:rsidRPr="003A5ADE">
        <w:rPr>
          <w:rFonts w:ascii="Calibri" w:hAnsi="Calibri"/>
          <w:sz w:val="22"/>
          <w:szCs w:val="22"/>
        </w:rPr>
        <w:t xml:space="preserve"> or BM BS, </w:t>
      </w:r>
      <w:smartTag w:uri="urn:schemas-microsoft-com:office:smarttags" w:element="stockticker">
        <w:r w:rsidRPr="003A5ADE">
          <w:rPr>
            <w:rFonts w:ascii="Calibri" w:hAnsi="Calibri"/>
            <w:sz w:val="22"/>
            <w:szCs w:val="22"/>
          </w:rPr>
          <w:t>BDS</w:t>
        </w:r>
      </w:smartTag>
      <w:r w:rsidRPr="003A5ADE">
        <w:rPr>
          <w:rFonts w:ascii="Calibri" w:hAnsi="Calibri"/>
          <w:sz w:val="22"/>
          <w:szCs w:val="22"/>
        </w:rPr>
        <w:t xml:space="preserve">, </w:t>
      </w:r>
      <w:proofErr w:type="spellStart"/>
      <w:r w:rsidRPr="003A5ADE">
        <w:rPr>
          <w:rFonts w:ascii="Calibri" w:hAnsi="Calibri"/>
          <w:sz w:val="22"/>
          <w:szCs w:val="22"/>
        </w:rPr>
        <w:t>BVetMed</w:t>
      </w:r>
      <w:proofErr w:type="spellEnd"/>
      <w:r w:rsidRPr="003A5ADE">
        <w:rPr>
          <w:rFonts w:ascii="Calibri" w:hAnsi="Calibri"/>
          <w:sz w:val="22"/>
          <w:szCs w:val="22"/>
        </w:rPr>
        <w:t xml:space="preserve"> and BVSc respectively. </w:t>
      </w:r>
    </w:p>
    <w:p w:rsidR="00643C9C" w:rsidRPr="003A5ADE" w:rsidRDefault="00643C9C" w:rsidP="00643C9C">
      <w:pPr>
        <w:pStyle w:val="Heading4"/>
        <w:rPr>
          <w:rFonts w:ascii="Calibri" w:hAnsi="Calibri" w:cs="Arial"/>
          <w:sz w:val="22"/>
          <w:szCs w:val="22"/>
        </w:rPr>
      </w:pPr>
      <w:r w:rsidRPr="003A5ADE">
        <w:rPr>
          <w:rFonts w:ascii="Calibri" w:hAnsi="Calibri" w:cs="Arial"/>
          <w:sz w:val="22"/>
          <w:szCs w:val="22"/>
        </w:rPr>
        <w:t xml:space="preserve">Note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The Master of Arts (MA) granted by the University of Oxford and the University of Cambridge are not academic qualifications. The MA is normally granted, on application, to graduates of these universities with a Bachelor of Arts (BA). No further study or assessment is required, but the recipient may be required to pay a fee.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At the University of Oxford, the MA may be granted during or after the twenty-first term from matriculation and at the University of Cambridge, the MA may be granted six years after the end of the first term. </w:t>
      </w:r>
    </w:p>
    <w:p w:rsidR="00643C9C" w:rsidRDefault="00643C9C" w:rsidP="00643C9C">
      <w:pPr>
        <w:rPr>
          <w:b/>
        </w:rPr>
      </w:pPr>
    </w:p>
    <w:p w:rsidR="00643C9C" w:rsidRDefault="00643C9C" w:rsidP="00643C9C">
      <w:pPr>
        <w:rPr>
          <w:b/>
        </w:rPr>
      </w:pPr>
    </w:p>
    <w:p w:rsidR="00643C9C" w:rsidRDefault="00643C9C" w:rsidP="00643C9C">
      <w:pPr>
        <w:rPr>
          <w:b/>
        </w:rPr>
      </w:pPr>
    </w:p>
    <w:p w:rsidR="00643C9C" w:rsidRDefault="00643C9C" w:rsidP="00643C9C">
      <w:pPr>
        <w:rPr>
          <w:b/>
        </w:rPr>
      </w:pPr>
      <w:r>
        <w:rPr>
          <w:b/>
        </w:rPr>
        <w:br w:type="page"/>
      </w:r>
      <w:r w:rsidRPr="00D953AE">
        <w:rPr>
          <w:b/>
        </w:rPr>
        <w:lastRenderedPageBreak/>
        <w:t xml:space="preserve"> Extract from the ‘Framework for Higher Education Qualifications in England, Wales and Northern Ireland’ – August 2008   “Descriptor for higher education qualification at level 8: Doctoral Degree”.</w:t>
      </w:r>
    </w:p>
    <w:p w:rsidR="00643C9C" w:rsidRPr="00D953AE" w:rsidRDefault="00643C9C" w:rsidP="00643C9C">
      <w:pPr>
        <w:rPr>
          <w:b/>
        </w:rPr>
      </w:pPr>
    </w:p>
    <w:p w:rsidR="00643C9C" w:rsidRPr="003A5ADE" w:rsidRDefault="00643C9C" w:rsidP="00643C9C">
      <w:pPr>
        <w:pStyle w:val="NormalWeb"/>
        <w:shd w:val="clear" w:color="auto" w:fill="CCCCCC"/>
        <w:rPr>
          <w:rFonts w:ascii="Calibri" w:hAnsi="Calibri"/>
          <w:sz w:val="22"/>
          <w:szCs w:val="22"/>
        </w:rPr>
      </w:pPr>
      <w:r w:rsidRPr="003A5ADE">
        <w:rPr>
          <w:rFonts w:ascii="Calibri" w:hAnsi="Calibri"/>
          <w:sz w:val="22"/>
          <w:szCs w:val="22"/>
        </w:rPr>
        <w:t xml:space="preserve">The descriptor provided for this level of the FHEQ is for any doctoral degree which should meet the descriptor in full. This qualification descriptor can also be used as a reference point for other level 8 qualifications. </w:t>
      </w:r>
    </w:p>
    <w:p w:rsidR="00643C9C" w:rsidRPr="003A5ADE" w:rsidRDefault="00643C9C" w:rsidP="00643C9C">
      <w:pPr>
        <w:pStyle w:val="Heading4"/>
        <w:shd w:val="clear" w:color="auto" w:fill="CCCCCC"/>
        <w:rPr>
          <w:rFonts w:ascii="Calibri" w:hAnsi="Calibri" w:cs="Arial"/>
          <w:sz w:val="22"/>
          <w:szCs w:val="22"/>
        </w:rPr>
      </w:pPr>
      <w:r w:rsidRPr="003A5ADE">
        <w:rPr>
          <w:rFonts w:ascii="Calibri" w:hAnsi="Calibri" w:cs="Arial"/>
          <w:sz w:val="22"/>
          <w:szCs w:val="22"/>
        </w:rPr>
        <w:t xml:space="preserve">Doctoral degrees are awarded to students who have demonstrated: </w:t>
      </w:r>
    </w:p>
    <w:p w:rsidR="00643C9C" w:rsidRPr="003A5ADE" w:rsidRDefault="00643C9C" w:rsidP="00643C9C">
      <w:pPr>
        <w:shd w:val="clear" w:color="auto" w:fill="CCCCCC"/>
        <w:spacing w:before="100" w:beforeAutospacing="1" w:after="100" w:afterAutospacing="1"/>
        <w:rPr>
          <w:rFonts w:cs="Arial"/>
        </w:rPr>
      </w:pPr>
      <w:proofErr w:type="gramStart"/>
      <w:r w:rsidRPr="003A5ADE">
        <w:rPr>
          <w:rFonts w:cs="Arial"/>
        </w:rPr>
        <w:t>the</w:t>
      </w:r>
      <w:proofErr w:type="gramEnd"/>
      <w:r w:rsidRPr="003A5ADE">
        <w:rPr>
          <w:rFonts w:cs="Arial"/>
        </w:rPr>
        <w:t xml:space="preserve"> creation and interpretation of new knowledge, through original research or other advanced scholarship, of a quality to satisfy peer review, extend the forefront of the discipline, and merit publication </w:t>
      </w:r>
    </w:p>
    <w:p w:rsidR="00643C9C" w:rsidRPr="003A5ADE" w:rsidRDefault="00643C9C" w:rsidP="00643C9C">
      <w:pPr>
        <w:shd w:val="clear" w:color="auto" w:fill="CCCCCC"/>
        <w:spacing w:before="100" w:beforeAutospacing="1" w:after="100" w:afterAutospacing="1"/>
        <w:rPr>
          <w:rFonts w:cs="Arial"/>
        </w:rPr>
      </w:pPr>
      <w:proofErr w:type="gramStart"/>
      <w:r w:rsidRPr="003A5ADE">
        <w:rPr>
          <w:rFonts w:cs="Arial"/>
        </w:rPr>
        <w:t>a</w:t>
      </w:r>
      <w:proofErr w:type="gramEnd"/>
      <w:r w:rsidRPr="003A5ADE">
        <w:rPr>
          <w:rFonts w:cs="Arial"/>
        </w:rPr>
        <w:t xml:space="preserve"> systematic acquisition and understanding of a substantial body of knowledge which is at the forefront of an academic discipline or area of professional practice </w:t>
      </w:r>
    </w:p>
    <w:p w:rsidR="00643C9C" w:rsidRPr="003A5ADE" w:rsidRDefault="00643C9C" w:rsidP="00643C9C">
      <w:pPr>
        <w:shd w:val="clear" w:color="auto" w:fill="CCCCCC"/>
        <w:spacing w:before="100" w:beforeAutospacing="1" w:after="100" w:afterAutospacing="1"/>
        <w:rPr>
          <w:rFonts w:cs="Arial"/>
        </w:rPr>
      </w:pPr>
      <w:r w:rsidRPr="003A5ADE">
        <w:rPr>
          <w:rFonts w:cs="Arial"/>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00643C9C" w:rsidRPr="003A5ADE" w:rsidRDefault="00643C9C" w:rsidP="00643C9C">
      <w:pPr>
        <w:shd w:val="clear" w:color="auto" w:fill="CCCCCC"/>
        <w:spacing w:before="100" w:beforeAutospacing="1" w:after="100" w:afterAutospacing="1"/>
        <w:rPr>
          <w:rFonts w:cs="Arial"/>
        </w:rPr>
      </w:pPr>
      <w:proofErr w:type="gramStart"/>
      <w:r w:rsidRPr="003A5ADE">
        <w:rPr>
          <w:rFonts w:cs="Arial"/>
        </w:rPr>
        <w:t>a</w:t>
      </w:r>
      <w:proofErr w:type="gramEnd"/>
      <w:r w:rsidRPr="003A5ADE">
        <w:rPr>
          <w:rFonts w:cs="Arial"/>
        </w:rPr>
        <w:t xml:space="preserve"> detailed understanding of applicable techniques for research and advanced academic enquiry. </w:t>
      </w:r>
    </w:p>
    <w:p w:rsidR="00643C9C" w:rsidRPr="003A5ADE" w:rsidRDefault="00643C9C" w:rsidP="00643C9C">
      <w:pPr>
        <w:pStyle w:val="Heading4"/>
        <w:shd w:val="clear" w:color="auto" w:fill="CCCCCC"/>
        <w:rPr>
          <w:rFonts w:ascii="Calibri" w:hAnsi="Calibri" w:cs="Arial"/>
          <w:sz w:val="22"/>
          <w:szCs w:val="22"/>
        </w:rPr>
      </w:pPr>
      <w:r w:rsidRPr="003A5ADE">
        <w:rPr>
          <w:rFonts w:ascii="Calibri" w:hAnsi="Calibri" w:cs="Arial"/>
          <w:sz w:val="22"/>
          <w:szCs w:val="22"/>
        </w:rPr>
        <w:t xml:space="preserve">Typically, holders of the qualification will be able to: </w:t>
      </w:r>
    </w:p>
    <w:p w:rsidR="00643C9C" w:rsidRPr="003A5ADE" w:rsidRDefault="00643C9C" w:rsidP="00643C9C">
      <w:pPr>
        <w:shd w:val="clear" w:color="auto" w:fill="CCCCCC"/>
        <w:spacing w:before="100" w:beforeAutospacing="1" w:after="100" w:afterAutospacing="1"/>
        <w:rPr>
          <w:rFonts w:cs="Arial"/>
        </w:rPr>
      </w:pPr>
      <w:proofErr w:type="gramStart"/>
      <w:r w:rsidRPr="003A5ADE">
        <w:rPr>
          <w:rFonts w:cs="Arial"/>
        </w:rPr>
        <w:t>make</w:t>
      </w:r>
      <w:proofErr w:type="gramEnd"/>
      <w:r w:rsidRPr="003A5ADE">
        <w:rPr>
          <w:rFonts w:cs="Arial"/>
        </w:rPr>
        <w:t xml:space="preserve"> informed judgements on complex issues in specialist fields, often in the absence of complete data, and be able to communicate their ideas and conclusions clearly and effectively to specialist and non-specialist audiences </w:t>
      </w:r>
    </w:p>
    <w:p w:rsidR="00643C9C" w:rsidRPr="003A5ADE" w:rsidRDefault="00643C9C" w:rsidP="00643C9C">
      <w:pPr>
        <w:shd w:val="clear" w:color="auto" w:fill="CCCCCC"/>
        <w:spacing w:before="100" w:beforeAutospacing="1" w:after="100" w:afterAutospacing="1"/>
        <w:rPr>
          <w:rFonts w:cs="Arial"/>
        </w:rPr>
      </w:pPr>
      <w:proofErr w:type="gramStart"/>
      <w:r w:rsidRPr="003A5ADE">
        <w:rPr>
          <w:rFonts w:cs="Arial"/>
        </w:rPr>
        <w:t>continue</w:t>
      </w:r>
      <w:proofErr w:type="gramEnd"/>
      <w:r w:rsidRPr="003A5ADE">
        <w:rPr>
          <w:rFonts w:cs="Arial"/>
        </w:rPr>
        <w:t xml:space="preserve"> to undertake pure and/or applied research and development at an advanced level, contributing substantially to the development of new techniques, ideas or approaches. </w:t>
      </w:r>
    </w:p>
    <w:p w:rsidR="00643C9C" w:rsidRPr="003A5ADE" w:rsidRDefault="00643C9C" w:rsidP="00643C9C">
      <w:pPr>
        <w:pStyle w:val="Heading4"/>
        <w:shd w:val="clear" w:color="auto" w:fill="CCCCCC"/>
        <w:rPr>
          <w:rFonts w:ascii="Calibri" w:hAnsi="Calibri" w:cs="Arial"/>
          <w:sz w:val="22"/>
          <w:szCs w:val="22"/>
        </w:rPr>
      </w:pPr>
      <w:r w:rsidRPr="003A5ADE">
        <w:rPr>
          <w:rFonts w:ascii="Calibri" w:hAnsi="Calibri" w:cs="Arial"/>
          <w:sz w:val="22"/>
          <w:szCs w:val="22"/>
        </w:rPr>
        <w:t xml:space="preserve">And holders will have: </w:t>
      </w:r>
    </w:p>
    <w:p w:rsidR="00643C9C" w:rsidRPr="003A5ADE" w:rsidRDefault="00643C9C" w:rsidP="00643C9C">
      <w:pPr>
        <w:shd w:val="clear" w:color="auto" w:fill="CCCCCC"/>
        <w:spacing w:before="100" w:beforeAutospacing="1" w:after="100" w:afterAutospacing="1"/>
        <w:rPr>
          <w:rFonts w:cs="Arial"/>
        </w:rPr>
      </w:pPr>
      <w:proofErr w:type="gramStart"/>
      <w:r w:rsidRPr="003A5ADE">
        <w:rPr>
          <w:rFonts w:cs="Arial"/>
        </w:rPr>
        <w:t>the</w:t>
      </w:r>
      <w:proofErr w:type="gramEnd"/>
      <w:r w:rsidRPr="003A5ADE">
        <w:rPr>
          <w:rFonts w:cs="Arial"/>
        </w:rPr>
        <w:t xml:space="preserve"> qualities and transferable skills necessary for employment requiring the exercise of personal responsibility and largely autonomous initiative in complex and unpredictable situations, in professional or equivalent environments.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44 Doctoral degrees are awarded for the creation and interpretation, construction and/or exposition of knowledge which extends the forefront of a discipline, usually through original research.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45 Holders of doctoral degrees will be able to conceptualise, design and implement projects for the generation of significant new knowledge and/or understanding. Holders of doctoral degrees will have the qualities needed for employment that require both the ability to make informed judgements on complex issues in specialist fields and an innovative approach to tackling and solving problems. </w:t>
      </w:r>
    </w:p>
    <w:p w:rsidR="00643C9C" w:rsidRPr="003A5ADE" w:rsidRDefault="00643C9C" w:rsidP="00643C9C">
      <w:pPr>
        <w:pStyle w:val="NormalWeb"/>
        <w:rPr>
          <w:rFonts w:ascii="Calibri" w:hAnsi="Calibri"/>
          <w:sz w:val="22"/>
          <w:szCs w:val="22"/>
        </w:rPr>
      </w:pPr>
      <w:r w:rsidRPr="003A5ADE">
        <w:rPr>
          <w:rFonts w:ascii="Calibri" w:hAnsi="Calibri"/>
          <w:sz w:val="22"/>
          <w:szCs w:val="22"/>
        </w:rPr>
        <w:lastRenderedPageBreak/>
        <w:t xml:space="preserve">46 Doctoral programmes that may include a research component but which have a substantial taught element (for example, professional doctorates), lead usually to awards which include the name of the discipline in their title (for example, EdD for Doctor of Education or </w:t>
      </w:r>
      <w:proofErr w:type="spellStart"/>
      <w:r w:rsidRPr="003A5ADE">
        <w:rPr>
          <w:rFonts w:ascii="Calibri" w:hAnsi="Calibri"/>
          <w:sz w:val="22"/>
          <w:szCs w:val="22"/>
        </w:rPr>
        <w:t>DClinPsy</w:t>
      </w:r>
      <w:proofErr w:type="spellEnd"/>
      <w:r w:rsidRPr="003A5ADE">
        <w:rPr>
          <w:rFonts w:ascii="Calibri" w:hAnsi="Calibri"/>
          <w:sz w:val="22"/>
          <w:szCs w:val="22"/>
        </w:rPr>
        <w:t xml:space="preserve"> for Doctor of Clinical Psychology). Professional doctorates aim to develop an individual's professional practice and to support them in producing a contribution to (professional) knowledge.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47 The titles PhD and DPhil are commonly used for doctoral degrees awarded on the basis of original research.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48 Achievement of outcomes consistent with the qualification descriptor for the doctoral degree normally requires study equivalent to three full-time calendar years. </w:t>
      </w:r>
    </w:p>
    <w:p w:rsidR="00643C9C" w:rsidRPr="003A5ADE" w:rsidRDefault="00643C9C" w:rsidP="00643C9C">
      <w:pPr>
        <w:pStyle w:val="NormalWeb"/>
        <w:rPr>
          <w:rFonts w:ascii="Calibri" w:hAnsi="Calibri"/>
          <w:sz w:val="22"/>
          <w:szCs w:val="22"/>
        </w:rPr>
      </w:pPr>
      <w:r w:rsidRPr="003A5ADE">
        <w:rPr>
          <w:rFonts w:ascii="Calibri" w:hAnsi="Calibri"/>
          <w:sz w:val="22"/>
          <w:szCs w:val="22"/>
        </w:rPr>
        <w:t xml:space="preserve">49 Higher doctorates may be awarded in recognition of a substantial body of original research undertaken over the course of many years. Typically a portfolio of work which has been previously published in a peer-refereed context is submitted for assessment. Most higher education awarding bodies restrict candidacy to graduates or academic staff of several years' standing. </w:t>
      </w:r>
    </w:p>
    <w:p w:rsidR="00643C9C" w:rsidRDefault="00643C9C" w:rsidP="00643C9C"/>
    <w:p w:rsidR="00643C9C" w:rsidRDefault="00643C9C" w:rsidP="00643C9C"/>
    <w:p w:rsidR="00643C9C" w:rsidRPr="00643C9C" w:rsidRDefault="00643C9C" w:rsidP="00643C9C"/>
    <w:p w:rsidR="00643C9C" w:rsidRDefault="00643C9C" w:rsidP="002418A3">
      <w:pPr>
        <w:jc w:val="both"/>
      </w:pPr>
    </w:p>
    <w:sectPr w:rsidR="00643C9C" w:rsidSect="00CA7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BE"/>
    <w:multiLevelType w:val="multilevel"/>
    <w:tmpl w:val="146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68B"/>
    <w:multiLevelType w:val="multilevel"/>
    <w:tmpl w:val="EB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54319"/>
    <w:multiLevelType w:val="hybridMultilevel"/>
    <w:tmpl w:val="D1B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D72CF3"/>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A66631"/>
    <w:multiLevelType w:val="multilevel"/>
    <w:tmpl w:val="7B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415A9"/>
    <w:multiLevelType w:val="multilevel"/>
    <w:tmpl w:val="41D01DE4"/>
    <w:lvl w:ilvl="0">
      <w:start w:val="1"/>
      <w:numFmt w:val="decimal"/>
      <w:pStyle w:val="Heading1"/>
      <w:lvlText w:val="%1."/>
      <w:lvlJc w:val="left"/>
      <w:pPr>
        <w:tabs>
          <w:tab w:val="num" w:pos="432"/>
        </w:tabs>
        <w:ind w:left="432" w:hanging="432"/>
      </w:pPr>
      <w:rPr>
        <w:rFonts w:ascii="Arial" w:hAnsi="Arial" w:hint="default"/>
        <w:b/>
        <w:i w:val="0"/>
        <w:sz w:val="22"/>
        <w:szCs w:val="22"/>
        <w:u w:val="none"/>
      </w:rPr>
    </w:lvl>
    <w:lvl w:ilvl="1">
      <w:start w:val="1"/>
      <w:numFmt w:val="decimal"/>
      <w:lvlText w:val="%2."/>
      <w:lvlJc w:val="left"/>
      <w:pPr>
        <w:tabs>
          <w:tab w:val="num" w:pos="360"/>
        </w:tabs>
        <w:ind w:left="360" w:hanging="360"/>
      </w:pPr>
      <w:rPr>
        <w:rFonts w:hint="default"/>
        <w:b/>
        <w:i w:val="0"/>
        <w:sz w:val="32"/>
        <w:szCs w:val="32"/>
        <w:u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A6"/>
    <w:rsid w:val="00067473"/>
    <w:rsid w:val="00111CF0"/>
    <w:rsid w:val="00145AA4"/>
    <w:rsid w:val="00194457"/>
    <w:rsid w:val="001E43CD"/>
    <w:rsid w:val="00217735"/>
    <w:rsid w:val="002244EA"/>
    <w:rsid w:val="002418A3"/>
    <w:rsid w:val="00287C72"/>
    <w:rsid w:val="002A580B"/>
    <w:rsid w:val="003332E5"/>
    <w:rsid w:val="00375A51"/>
    <w:rsid w:val="00380FB9"/>
    <w:rsid w:val="003A5ADE"/>
    <w:rsid w:val="003F1D19"/>
    <w:rsid w:val="005E5A89"/>
    <w:rsid w:val="00643C9C"/>
    <w:rsid w:val="00691131"/>
    <w:rsid w:val="006F76D1"/>
    <w:rsid w:val="00713133"/>
    <w:rsid w:val="00896B8B"/>
    <w:rsid w:val="00924EA4"/>
    <w:rsid w:val="00941E42"/>
    <w:rsid w:val="00944DDD"/>
    <w:rsid w:val="009743F1"/>
    <w:rsid w:val="009A11BA"/>
    <w:rsid w:val="00A442CE"/>
    <w:rsid w:val="00C27639"/>
    <w:rsid w:val="00CA7D37"/>
    <w:rsid w:val="00D95BE0"/>
    <w:rsid w:val="00DE26A6"/>
    <w:rsid w:val="00E466E0"/>
    <w:rsid w:val="00E91AEF"/>
    <w:rsid w:val="00E97E22"/>
    <w:rsid w:val="00EB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86CF98D-800C-4E03-9155-3E48BD27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A6"/>
    <w:pPr>
      <w:spacing w:after="200" w:line="276" w:lineRule="auto"/>
    </w:pPr>
    <w:rPr>
      <w:sz w:val="22"/>
      <w:szCs w:val="22"/>
      <w:lang w:eastAsia="en-US"/>
    </w:rPr>
  </w:style>
  <w:style w:type="paragraph" w:styleId="Heading1">
    <w:name w:val="heading 1"/>
    <w:basedOn w:val="Normal"/>
    <w:next w:val="Normal"/>
    <w:link w:val="Heading1Char"/>
    <w:qFormat/>
    <w:rsid w:val="00643C9C"/>
    <w:pPr>
      <w:keepNext/>
      <w:numPr>
        <w:numId w:val="2"/>
      </w:numPr>
      <w:spacing w:before="120" w:after="120" w:line="240" w:lineRule="auto"/>
      <w:jc w:val="both"/>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643C9C"/>
    <w:pPr>
      <w:keepNext/>
      <w:numPr>
        <w:ilvl w:val="2"/>
        <w:numId w:val="2"/>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643C9C"/>
    <w:pPr>
      <w:keepNext/>
      <w:numPr>
        <w:ilvl w:val="3"/>
        <w:numId w:val="2"/>
      </w:numPr>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643C9C"/>
    <w:pPr>
      <w:numPr>
        <w:ilvl w:val="4"/>
        <w:numId w:val="2"/>
      </w:num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643C9C"/>
    <w:pPr>
      <w:numPr>
        <w:ilvl w:val="5"/>
        <w:numId w:val="2"/>
      </w:numPr>
      <w:spacing w:before="240" w:after="60" w:line="240" w:lineRule="auto"/>
      <w:jc w:val="both"/>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643C9C"/>
    <w:pPr>
      <w:numPr>
        <w:ilvl w:val="6"/>
        <w:numId w:val="2"/>
      </w:numPr>
      <w:spacing w:before="240" w:after="60" w:line="240" w:lineRule="auto"/>
      <w:jc w:val="both"/>
      <w:outlineLvl w:val="6"/>
    </w:pPr>
    <w:rPr>
      <w:rFonts w:ascii="Times New Roman" w:eastAsia="Times New Roman" w:hAnsi="Times New Roman"/>
      <w:szCs w:val="24"/>
      <w:lang w:eastAsia="en-GB"/>
    </w:rPr>
  </w:style>
  <w:style w:type="paragraph" w:styleId="Heading8">
    <w:name w:val="heading 8"/>
    <w:basedOn w:val="Normal"/>
    <w:next w:val="Normal"/>
    <w:link w:val="Heading8Char"/>
    <w:qFormat/>
    <w:rsid w:val="00643C9C"/>
    <w:pPr>
      <w:numPr>
        <w:ilvl w:val="7"/>
        <w:numId w:val="2"/>
      </w:numPr>
      <w:spacing w:before="240" w:after="60" w:line="240" w:lineRule="auto"/>
      <w:jc w:val="both"/>
      <w:outlineLvl w:val="7"/>
    </w:pPr>
    <w:rPr>
      <w:rFonts w:ascii="Times New Roman" w:eastAsia="Times New Roman" w:hAnsi="Times New Roman"/>
      <w:i/>
      <w:iCs/>
      <w:szCs w:val="24"/>
      <w:lang w:eastAsia="en-GB"/>
    </w:rPr>
  </w:style>
  <w:style w:type="paragraph" w:styleId="Heading9">
    <w:name w:val="heading 9"/>
    <w:basedOn w:val="Normal"/>
    <w:next w:val="Normal"/>
    <w:link w:val="Heading9Char"/>
    <w:qFormat/>
    <w:rsid w:val="00643C9C"/>
    <w:pPr>
      <w:numPr>
        <w:ilvl w:val="8"/>
        <w:numId w:val="2"/>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57"/>
    <w:pPr>
      <w:ind w:left="720"/>
      <w:contextualSpacing/>
    </w:pPr>
  </w:style>
  <w:style w:type="character" w:styleId="Hyperlink">
    <w:name w:val="Hyperlink"/>
    <w:uiPriority w:val="99"/>
    <w:unhideWhenUsed/>
    <w:rsid w:val="00643C9C"/>
    <w:rPr>
      <w:color w:val="0000FF"/>
      <w:u w:val="single"/>
    </w:rPr>
  </w:style>
  <w:style w:type="character" w:customStyle="1" w:styleId="Heading1Char">
    <w:name w:val="Heading 1 Char"/>
    <w:link w:val="Heading1"/>
    <w:rsid w:val="00643C9C"/>
    <w:rPr>
      <w:rFonts w:ascii="Arial" w:eastAsia="Times New Roman" w:hAnsi="Arial" w:cs="Arial"/>
      <w:b/>
      <w:bCs/>
      <w:kern w:val="32"/>
      <w:sz w:val="32"/>
      <w:szCs w:val="32"/>
      <w:lang w:eastAsia="en-GB"/>
    </w:rPr>
  </w:style>
  <w:style w:type="character" w:customStyle="1" w:styleId="Heading3Char">
    <w:name w:val="Heading 3 Char"/>
    <w:link w:val="Heading3"/>
    <w:rsid w:val="00643C9C"/>
    <w:rPr>
      <w:rFonts w:ascii="Arial" w:eastAsia="Times New Roman" w:hAnsi="Arial" w:cs="Arial"/>
      <w:b/>
      <w:bCs/>
      <w:sz w:val="26"/>
      <w:szCs w:val="26"/>
      <w:lang w:eastAsia="en-GB"/>
    </w:rPr>
  </w:style>
  <w:style w:type="character" w:customStyle="1" w:styleId="Heading4Char">
    <w:name w:val="Heading 4 Char"/>
    <w:link w:val="Heading4"/>
    <w:rsid w:val="00643C9C"/>
    <w:rPr>
      <w:rFonts w:ascii="Times New Roman" w:eastAsia="Times New Roman" w:hAnsi="Times New Roman" w:cs="Times New Roman"/>
      <w:b/>
      <w:bCs/>
      <w:sz w:val="28"/>
      <w:szCs w:val="28"/>
      <w:lang w:eastAsia="en-GB"/>
    </w:rPr>
  </w:style>
  <w:style w:type="character" w:customStyle="1" w:styleId="Heading5Char">
    <w:name w:val="Heading 5 Char"/>
    <w:link w:val="Heading5"/>
    <w:rsid w:val="00643C9C"/>
    <w:rPr>
      <w:rFonts w:ascii="Arial" w:eastAsia="Times New Roman" w:hAnsi="Arial" w:cs="Times New Roman"/>
      <w:b/>
      <w:bCs/>
      <w:i/>
      <w:iCs/>
      <w:sz w:val="26"/>
      <w:szCs w:val="26"/>
      <w:lang w:eastAsia="en-GB"/>
    </w:rPr>
  </w:style>
  <w:style w:type="character" w:customStyle="1" w:styleId="Heading6Char">
    <w:name w:val="Heading 6 Char"/>
    <w:link w:val="Heading6"/>
    <w:rsid w:val="00643C9C"/>
    <w:rPr>
      <w:rFonts w:ascii="Times New Roman" w:eastAsia="Times New Roman" w:hAnsi="Times New Roman" w:cs="Times New Roman"/>
      <w:b/>
      <w:bCs/>
      <w:lang w:eastAsia="en-GB"/>
    </w:rPr>
  </w:style>
  <w:style w:type="character" w:customStyle="1" w:styleId="Heading7Char">
    <w:name w:val="Heading 7 Char"/>
    <w:link w:val="Heading7"/>
    <w:rsid w:val="00643C9C"/>
    <w:rPr>
      <w:rFonts w:ascii="Times New Roman" w:eastAsia="Times New Roman" w:hAnsi="Times New Roman" w:cs="Times New Roman"/>
      <w:szCs w:val="24"/>
      <w:lang w:eastAsia="en-GB"/>
    </w:rPr>
  </w:style>
  <w:style w:type="character" w:customStyle="1" w:styleId="Heading8Char">
    <w:name w:val="Heading 8 Char"/>
    <w:link w:val="Heading8"/>
    <w:rsid w:val="00643C9C"/>
    <w:rPr>
      <w:rFonts w:ascii="Times New Roman" w:eastAsia="Times New Roman" w:hAnsi="Times New Roman" w:cs="Times New Roman"/>
      <w:i/>
      <w:iCs/>
      <w:szCs w:val="24"/>
      <w:lang w:eastAsia="en-GB"/>
    </w:rPr>
  </w:style>
  <w:style w:type="character" w:customStyle="1" w:styleId="Heading9Char">
    <w:name w:val="Heading 9 Char"/>
    <w:link w:val="Heading9"/>
    <w:rsid w:val="00643C9C"/>
    <w:rPr>
      <w:rFonts w:ascii="Arial" w:eastAsia="Times New Roman" w:hAnsi="Arial" w:cs="Arial"/>
      <w:lang w:eastAsia="en-GB"/>
    </w:rPr>
  </w:style>
  <w:style w:type="paragraph" w:styleId="NormalWeb">
    <w:name w:val="Normal (Web)"/>
    <w:basedOn w:val="Normal"/>
    <w:rsid w:val="00643C9C"/>
    <w:pPr>
      <w:spacing w:before="100" w:beforeAutospacing="1" w:after="100" w:afterAutospacing="1" w:line="240" w:lineRule="auto"/>
    </w:pPr>
    <w:rPr>
      <w:rFonts w:ascii="Arial" w:eastAsia="Times New Roman" w:hAnsi="Arial" w:cs="Arial"/>
      <w:sz w:val="27"/>
      <w:szCs w:val="27"/>
      <w:lang w:eastAsia="en-GB"/>
    </w:rPr>
  </w:style>
  <w:style w:type="character" w:styleId="FollowedHyperlink">
    <w:name w:val="FollowedHyperlink"/>
    <w:basedOn w:val="DefaultParagraphFont"/>
    <w:uiPriority w:val="99"/>
    <w:semiHidden/>
    <w:unhideWhenUsed/>
    <w:rsid w:val="00380F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earchStudentAdmin@leedsbecket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18773</CharactersWithSpaces>
  <SharedDoc>false</SharedDoc>
  <HLinks>
    <vt:vector size="6" baseType="variant">
      <vt:variant>
        <vt:i4>917620</vt:i4>
      </vt:variant>
      <vt:variant>
        <vt:i4>0</vt:i4>
      </vt:variant>
      <vt:variant>
        <vt:i4>0</vt:i4>
      </vt:variant>
      <vt:variant>
        <vt:i4>5</vt:i4>
      </vt:variant>
      <vt:variant>
        <vt:lpwstr>mailto:ResearchStudentAdmin@leedsbeckett.ac.uk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frogga01</dc:creator>
  <cp:keywords/>
  <cp:lastModifiedBy>Braithwaite, Carrie</cp:lastModifiedBy>
  <cp:revision>6</cp:revision>
  <dcterms:created xsi:type="dcterms:W3CDTF">2018-05-31T13:36:00Z</dcterms:created>
  <dcterms:modified xsi:type="dcterms:W3CDTF">2018-06-01T07:17:00Z</dcterms:modified>
</cp:coreProperties>
</file>