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F0" w:rsidRPr="00C9104A" w:rsidRDefault="000E33F0">
      <w:pPr>
        <w:rPr>
          <w:rFonts w:cs="Arial"/>
          <w:color w:val="7F7F7F" w:themeColor="text1" w:themeTint="80"/>
          <w:sz w:val="24"/>
          <w:szCs w:val="24"/>
        </w:rPr>
      </w:pPr>
    </w:p>
    <w:p w:rsidR="00DE22F2" w:rsidRDefault="00DE22F2" w:rsidP="001B66F1">
      <w:pPr>
        <w:spacing w:line="240" w:lineRule="auto"/>
        <w:rPr>
          <w:rFonts w:cs="Arial"/>
          <w:b/>
          <w:color w:val="7F7F7F" w:themeColor="text1" w:themeTint="80"/>
          <w:sz w:val="68"/>
          <w:szCs w:val="68"/>
        </w:rPr>
      </w:pPr>
    </w:p>
    <w:p w:rsidR="009B548D" w:rsidRPr="002B2FD4" w:rsidRDefault="009B548D" w:rsidP="009B548D">
      <w:pPr>
        <w:spacing w:line="240" w:lineRule="auto"/>
        <w:rPr>
          <w:rFonts w:cs="Arial"/>
          <w:b/>
          <w:color w:val="7F7F7F" w:themeColor="text1" w:themeTint="80"/>
          <w:sz w:val="36"/>
          <w:szCs w:val="36"/>
        </w:rPr>
      </w:pPr>
      <w:r w:rsidRPr="002B2FD4">
        <w:rPr>
          <w:rFonts w:cs="Arial"/>
          <w:b/>
          <w:color w:val="7F7F7F" w:themeColor="text1" w:themeTint="80"/>
          <w:sz w:val="36"/>
          <w:szCs w:val="36"/>
        </w:rPr>
        <w:t>Confirmation of registration outcome document</w:t>
      </w:r>
    </w:p>
    <w:p w:rsidR="009B548D" w:rsidRDefault="009B548D" w:rsidP="009B548D">
      <w:pPr>
        <w:rPr>
          <w:rFonts w:cs="Arial"/>
          <w:color w:val="auto"/>
          <w:sz w:val="20"/>
          <w:szCs w:val="20"/>
        </w:rPr>
      </w:pPr>
      <w:r w:rsidRPr="002B2FD4">
        <w:rPr>
          <w:rFonts w:cs="Arial"/>
          <w:color w:val="auto"/>
          <w:sz w:val="20"/>
          <w:szCs w:val="20"/>
        </w:rPr>
        <w:t>To be completed by the Chair of the Review Panel</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660"/>
      </w:tblGrid>
      <w:tr w:rsidR="009B548D" w:rsidRPr="0040185E" w:rsidTr="00E21681">
        <w:tc>
          <w:tcPr>
            <w:tcW w:w="2628" w:type="dxa"/>
          </w:tcPr>
          <w:p w:rsidR="009B548D" w:rsidRPr="0040185E" w:rsidRDefault="009B548D" w:rsidP="00E21681">
            <w:pPr>
              <w:rPr>
                <w:rFonts w:ascii="Calibri" w:hAnsi="Calibri" w:cs="Arial"/>
                <w:b/>
              </w:rPr>
            </w:pPr>
            <w:r w:rsidRPr="0040185E">
              <w:rPr>
                <w:rFonts w:ascii="Calibri" w:hAnsi="Calibri" w:cs="Arial"/>
                <w:b/>
              </w:rPr>
              <w:t>Name of Candidate</w:t>
            </w:r>
          </w:p>
        </w:tc>
        <w:tc>
          <w:tcPr>
            <w:tcW w:w="6660" w:type="dxa"/>
          </w:tcPr>
          <w:p w:rsidR="009B548D" w:rsidRPr="0040185E" w:rsidRDefault="009B548D" w:rsidP="00E21681">
            <w:pPr>
              <w:rPr>
                <w:rFonts w:ascii="Calibri" w:hAnsi="Calibri" w:cs="Arial"/>
              </w:rPr>
            </w:pPr>
          </w:p>
        </w:tc>
      </w:tr>
      <w:tr w:rsidR="009B548D" w:rsidRPr="0040185E" w:rsidTr="00E21681">
        <w:tc>
          <w:tcPr>
            <w:tcW w:w="2628" w:type="dxa"/>
          </w:tcPr>
          <w:p w:rsidR="009B548D" w:rsidRDefault="009B548D" w:rsidP="00E21681">
            <w:pPr>
              <w:rPr>
                <w:rFonts w:ascii="Calibri" w:hAnsi="Calibri" w:cs="Arial"/>
                <w:b/>
              </w:rPr>
            </w:pPr>
            <w:r>
              <w:rPr>
                <w:rFonts w:ascii="Calibri" w:hAnsi="Calibri" w:cs="Arial"/>
                <w:b/>
              </w:rPr>
              <w:t>School</w:t>
            </w:r>
          </w:p>
        </w:tc>
        <w:tc>
          <w:tcPr>
            <w:tcW w:w="6660" w:type="dxa"/>
          </w:tcPr>
          <w:p w:rsidR="009B548D" w:rsidRPr="0040185E" w:rsidRDefault="009B548D" w:rsidP="00E21681">
            <w:pPr>
              <w:rPr>
                <w:rFonts w:ascii="Calibri" w:hAnsi="Calibri" w:cs="Arial"/>
              </w:rPr>
            </w:pPr>
          </w:p>
        </w:tc>
      </w:tr>
      <w:tr w:rsidR="009B548D" w:rsidRPr="0040185E" w:rsidTr="00E21681">
        <w:tc>
          <w:tcPr>
            <w:tcW w:w="2628" w:type="dxa"/>
          </w:tcPr>
          <w:p w:rsidR="009B548D" w:rsidRDefault="009B548D" w:rsidP="00E21681">
            <w:pPr>
              <w:rPr>
                <w:rFonts w:ascii="Calibri" w:hAnsi="Calibri" w:cs="Arial"/>
                <w:b/>
              </w:rPr>
            </w:pPr>
            <w:r>
              <w:rPr>
                <w:rFonts w:ascii="Calibri" w:hAnsi="Calibri" w:cs="Arial"/>
                <w:b/>
              </w:rPr>
              <w:t>Enrolment date</w:t>
            </w:r>
          </w:p>
        </w:tc>
        <w:tc>
          <w:tcPr>
            <w:tcW w:w="6660" w:type="dxa"/>
          </w:tcPr>
          <w:p w:rsidR="009B548D" w:rsidRPr="0040185E" w:rsidRDefault="009B548D" w:rsidP="00E21681">
            <w:pPr>
              <w:rPr>
                <w:rFonts w:ascii="Calibri" w:hAnsi="Calibri" w:cs="Arial"/>
              </w:rPr>
            </w:pPr>
          </w:p>
        </w:tc>
      </w:tr>
      <w:tr w:rsidR="009B548D" w:rsidRPr="0040185E" w:rsidTr="00E21681">
        <w:tc>
          <w:tcPr>
            <w:tcW w:w="2628" w:type="dxa"/>
          </w:tcPr>
          <w:p w:rsidR="009B548D" w:rsidRPr="0040185E" w:rsidRDefault="009B548D" w:rsidP="00E21681">
            <w:pPr>
              <w:rPr>
                <w:rFonts w:ascii="Calibri" w:hAnsi="Calibri" w:cs="Arial"/>
                <w:b/>
              </w:rPr>
            </w:pPr>
            <w:r w:rsidRPr="0040185E">
              <w:rPr>
                <w:rFonts w:ascii="Calibri" w:hAnsi="Calibri" w:cs="Arial"/>
                <w:b/>
              </w:rPr>
              <w:t>Current Title of Project</w:t>
            </w:r>
          </w:p>
        </w:tc>
        <w:tc>
          <w:tcPr>
            <w:tcW w:w="6660" w:type="dxa"/>
          </w:tcPr>
          <w:p w:rsidR="009B548D" w:rsidRPr="0040185E" w:rsidRDefault="009B548D" w:rsidP="00E21681">
            <w:pPr>
              <w:rPr>
                <w:rFonts w:ascii="Calibri" w:hAnsi="Calibri" w:cs="Arial"/>
              </w:rPr>
            </w:pPr>
          </w:p>
        </w:tc>
      </w:tr>
      <w:tr w:rsidR="009B548D" w:rsidRPr="0040185E" w:rsidTr="00E21681">
        <w:tc>
          <w:tcPr>
            <w:tcW w:w="2628" w:type="dxa"/>
          </w:tcPr>
          <w:p w:rsidR="009B548D" w:rsidRPr="0040185E" w:rsidRDefault="009B548D" w:rsidP="00E21681">
            <w:pPr>
              <w:rPr>
                <w:rFonts w:ascii="Calibri" w:hAnsi="Calibri" w:cs="Arial"/>
                <w:b/>
              </w:rPr>
            </w:pPr>
            <w:r w:rsidRPr="0040185E">
              <w:rPr>
                <w:rFonts w:ascii="Calibri" w:hAnsi="Calibri" w:cs="Arial"/>
                <w:b/>
              </w:rPr>
              <w:t>Award applied for</w:t>
            </w:r>
          </w:p>
        </w:tc>
        <w:tc>
          <w:tcPr>
            <w:tcW w:w="6660" w:type="dxa"/>
          </w:tcPr>
          <w:p w:rsidR="009B548D" w:rsidRPr="0040185E" w:rsidRDefault="009B548D" w:rsidP="00E21681">
            <w:pPr>
              <w:rPr>
                <w:rFonts w:ascii="Calibri" w:hAnsi="Calibri" w:cs="Arial"/>
              </w:rPr>
            </w:pPr>
          </w:p>
        </w:tc>
      </w:tr>
      <w:tr w:rsidR="009B548D" w:rsidRPr="0040185E" w:rsidTr="00E21681">
        <w:tc>
          <w:tcPr>
            <w:tcW w:w="2628" w:type="dxa"/>
          </w:tcPr>
          <w:p w:rsidR="009B548D" w:rsidRPr="0040185E" w:rsidRDefault="009B548D" w:rsidP="00E21681">
            <w:pPr>
              <w:rPr>
                <w:rFonts w:ascii="Calibri" w:hAnsi="Calibri" w:cs="Arial"/>
                <w:b/>
              </w:rPr>
            </w:pPr>
            <w:r w:rsidRPr="0040185E">
              <w:rPr>
                <w:rFonts w:ascii="Calibri" w:hAnsi="Calibri" w:cs="Arial"/>
                <w:b/>
              </w:rPr>
              <w:t xml:space="preserve">Date of </w:t>
            </w:r>
            <w:r>
              <w:rPr>
                <w:rFonts w:ascii="Calibri" w:hAnsi="Calibri" w:cs="Arial"/>
                <w:b/>
              </w:rPr>
              <w:t>Confirmation of Registration Panel</w:t>
            </w:r>
          </w:p>
        </w:tc>
        <w:tc>
          <w:tcPr>
            <w:tcW w:w="6660" w:type="dxa"/>
          </w:tcPr>
          <w:p w:rsidR="009B548D" w:rsidRPr="0040185E" w:rsidRDefault="009B548D" w:rsidP="00E21681">
            <w:pPr>
              <w:rPr>
                <w:rFonts w:ascii="Calibri" w:hAnsi="Calibri" w:cs="Arial"/>
              </w:rPr>
            </w:pPr>
          </w:p>
        </w:tc>
      </w:tr>
      <w:tr w:rsidR="009B548D" w:rsidRPr="0040185E" w:rsidTr="00E21681">
        <w:tc>
          <w:tcPr>
            <w:tcW w:w="2628" w:type="dxa"/>
          </w:tcPr>
          <w:p w:rsidR="009B548D" w:rsidRPr="0040185E" w:rsidRDefault="009B548D" w:rsidP="00E21681">
            <w:pPr>
              <w:rPr>
                <w:rFonts w:ascii="Calibri" w:hAnsi="Calibri" w:cs="Arial"/>
                <w:b/>
              </w:rPr>
            </w:pPr>
            <w:r w:rsidRPr="0040185E">
              <w:rPr>
                <w:rFonts w:ascii="Calibri" w:hAnsi="Calibri" w:cs="Arial"/>
                <w:b/>
              </w:rPr>
              <w:t>Appointed Chair of Review Panel</w:t>
            </w:r>
          </w:p>
        </w:tc>
        <w:tc>
          <w:tcPr>
            <w:tcW w:w="6660" w:type="dxa"/>
          </w:tcPr>
          <w:p w:rsidR="009B548D" w:rsidRPr="0040185E" w:rsidRDefault="009B548D" w:rsidP="00E21681">
            <w:pPr>
              <w:rPr>
                <w:rFonts w:ascii="Calibri" w:hAnsi="Calibri" w:cs="Arial"/>
              </w:rPr>
            </w:pPr>
          </w:p>
        </w:tc>
      </w:tr>
      <w:tr w:rsidR="009B548D" w:rsidRPr="0040185E" w:rsidTr="00E21681">
        <w:tc>
          <w:tcPr>
            <w:tcW w:w="2628" w:type="dxa"/>
          </w:tcPr>
          <w:p w:rsidR="009B548D" w:rsidRPr="0040185E" w:rsidRDefault="009B548D" w:rsidP="00E21681">
            <w:pPr>
              <w:rPr>
                <w:rFonts w:ascii="Calibri" w:hAnsi="Calibri" w:cs="Arial"/>
                <w:b/>
              </w:rPr>
            </w:pPr>
            <w:r w:rsidRPr="0040185E">
              <w:rPr>
                <w:rFonts w:ascii="Calibri" w:hAnsi="Calibri" w:cs="Arial"/>
                <w:b/>
              </w:rPr>
              <w:t>Other Review Panel Members</w:t>
            </w:r>
          </w:p>
        </w:tc>
        <w:tc>
          <w:tcPr>
            <w:tcW w:w="6660" w:type="dxa"/>
          </w:tcPr>
          <w:p w:rsidR="009B548D" w:rsidRDefault="009B548D" w:rsidP="00E21681">
            <w:pPr>
              <w:rPr>
                <w:rFonts w:ascii="Calibri" w:hAnsi="Calibri" w:cs="Arial"/>
              </w:rPr>
            </w:pPr>
          </w:p>
          <w:p w:rsidR="009B548D" w:rsidRDefault="009B548D" w:rsidP="00E21681">
            <w:pPr>
              <w:rPr>
                <w:rFonts w:ascii="Calibri" w:hAnsi="Calibri" w:cs="Arial"/>
              </w:rPr>
            </w:pPr>
          </w:p>
          <w:p w:rsidR="009B548D" w:rsidRDefault="009B548D" w:rsidP="00E21681">
            <w:pPr>
              <w:rPr>
                <w:rFonts w:ascii="Calibri" w:hAnsi="Calibri" w:cs="Arial"/>
              </w:rPr>
            </w:pPr>
          </w:p>
          <w:p w:rsidR="009B548D" w:rsidRPr="0040185E" w:rsidRDefault="009B548D" w:rsidP="00E21681">
            <w:pPr>
              <w:rPr>
                <w:rFonts w:ascii="Calibri" w:hAnsi="Calibri" w:cs="Arial"/>
              </w:rPr>
            </w:pPr>
          </w:p>
        </w:tc>
      </w:tr>
      <w:tr w:rsidR="009B548D" w:rsidRPr="0040185E" w:rsidTr="00E21681">
        <w:tc>
          <w:tcPr>
            <w:tcW w:w="2628" w:type="dxa"/>
          </w:tcPr>
          <w:p w:rsidR="009B548D" w:rsidRPr="0040185E" w:rsidRDefault="009B548D" w:rsidP="00E21681">
            <w:pPr>
              <w:rPr>
                <w:rFonts w:ascii="Calibri" w:hAnsi="Calibri" w:cs="Arial"/>
                <w:b/>
              </w:rPr>
            </w:pPr>
            <w:r>
              <w:rPr>
                <w:rFonts w:ascii="Calibri" w:hAnsi="Calibri" w:cs="Arial"/>
                <w:b/>
              </w:rPr>
              <w:t>Members of supervisory team present</w:t>
            </w:r>
          </w:p>
        </w:tc>
        <w:tc>
          <w:tcPr>
            <w:tcW w:w="6660" w:type="dxa"/>
          </w:tcPr>
          <w:p w:rsidR="009B548D" w:rsidRDefault="009B548D" w:rsidP="00E21681">
            <w:pPr>
              <w:rPr>
                <w:rFonts w:ascii="Calibri" w:hAnsi="Calibri" w:cs="Arial"/>
              </w:rPr>
            </w:pPr>
          </w:p>
        </w:tc>
      </w:tr>
    </w:tbl>
    <w:p w:rsidR="009B548D" w:rsidRPr="002B2FD4" w:rsidRDefault="009B548D" w:rsidP="009B548D">
      <w:pPr>
        <w:rPr>
          <w:rFonts w:cs="Arial"/>
          <w:color w:val="auto"/>
          <w:sz w:val="20"/>
          <w:szCs w:val="20"/>
        </w:rPr>
      </w:pPr>
    </w:p>
    <w:p w:rsidR="00426361" w:rsidRDefault="00426361" w:rsidP="00426361">
      <w:pPr>
        <w:rPr>
          <w:rFonts w:cs="Arial"/>
          <w:color w:val="FFFFFF" w:themeColor="background1"/>
          <w:sz w:val="40"/>
          <w:szCs w:val="40"/>
        </w:rPr>
      </w:pPr>
    </w:p>
    <w:p w:rsidR="009B548D" w:rsidRDefault="009B548D" w:rsidP="00426361">
      <w:pPr>
        <w:rPr>
          <w:rFonts w:cs="Arial"/>
          <w:color w:val="FFFFFF" w:themeColor="background1"/>
          <w:sz w:val="40"/>
          <w:szCs w:val="40"/>
        </w:rPr>
      </w:pPr>
    </w:p>
    <w:p w:rsidR="009B548D" w:rsidRDefault="009B548D" w:rsidP="00426361">
      <w:pPr>
        <w:rPr>
          <w:rFonts w:cs="Arial"/>
          <w:color w:val="FFFFFF" w:themeColor="background1"/>
          <w:sz w:val="40"/>
          <w:szCs w:val="40"/>
        </w:rPr>
      </w:pPr>
    </w:p>
    <w:p w:rsidR="009B548D" w:rsidRDefault="009B548D" w:rsidP="00426361">
      <w:pPr>
        <w:rPr>
          <w:rFonts w:cs="Arial"/>
          <w:color w:val="FFFFFF" w:themeColor="background1"/>
          <w:sz w:val="40"/>
          <w:szCs w:val="40"/>
        </w:rPr>
      </w:pPr>
    </w:p>
    <w:p w:rsidR="009B548D" w:rsidRDefault="009B548D" w:rsidP="00426361">
      <w:pPr>
        <w:rPr>
          <w:rFonts w:cs="Arial"/>
          <w:color w:val="FFFFFF" w:themeColor="background1"/>
          <w:sz w:val="40"/>
          <w:szCs w:val="4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9B548D" w:rsidRPr="0040185E" w:rsidTr="00E21681">
        <w:tc>
          <w:tcPr>
            <w:tcW w:w="9288" w:type="dxa"/>
          </w:tcPr>
          <w:p w:rsidR="009B548D" w:rsidRPr="005740D1" w:rsidRDefault="009B548D" w:rsidP="00E21681">
            <w:pPr>
              <w:rPr>
                <w:rFonts w:ascii="Calibri" w:hAnsi="Calibri"/>
                <w:b/>
              </w:rPr>
            </w:pPr>
            <w:r w:rsidRPr="005740D1">
              <w:rPr>
                <w:rFonts w:ascii="Calibri" w:hAnsi="Calibri"/>
                <w:b/>
              </w:rPr>
              <w:t xml:space="preserve">Will the completion of the proposed project realistically allow the </w:t>
            </w:r>
            <w:r>
              <w:rPr>
                <w:rFonts w:ascii="Calibri" w:hAnsi="Calibri"/>
                <w:b/>
              </w:rPr>
              <w:t xml:space="preserve">student </w:t>
            </w:r>
            <w:r w:rsidRPr="005740D1">
              <w:rPr>
                <w:rFonts w:ascii="Calibri" w:hAnsi="Calibri"/>
                <w:b/>
              </w:rPr>
              <w:t>to achieve a research award at the designated level</w:t>
            </w:r>
            <w:r>
              <w:rPr>
                <w:rFonts w:ascii="Calibri" w:hAnsi="Calibri"/>
                <w:b/>
              </w:rPr>
              <w:t xml:space="preserve"> and within the period of registration</w:t>
            </w:r>
            <w:r w:rsidRPr="005740D1">
              <w:rPr>
                <w:rFonts w:ascii="Calibri" w:hAnsi="Calibri"/>
                <w:b/>
              </w:rPr>
              <w:t xml:space="preserve">? </w:t>
            </w:r>
            <w:r w:rsidRPr="005740D1">
              <w:rPr>
                <w:rFonts w:ascii="Calibri" w:hAnsi="Calibri"/>
              </w:rPr>
              <w:t>(</w:t>
            </w:r>
            <w:r>
              <w:rPr>
                <w:rFonts w:ascii="Calibri" w:hAnsi="Calibri"/>
              </w:rPr>
              <w:t>P</w:t>
            </w:r>
            <w:r w:rsidRPr="005740D1">
              <w:rPr>
                <w:rFonts w:ascii="Calibri" w:hAnsi="Calibri"/>
              </w:rPr>
              <w:t>lease provide comments</w:t>
            </w:r>
            <w:r>
              <w:rPr>
                <w:rFonts w:ascii="Calibri" w:hAnsi="Calibri"/>
              </w:rPr>
              <w:t xml:space="preserve">, addressing the original contribution to the existing body of work in the area and that the project can be delivered within the timescales).  </w:t>
            </w: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tc>
      </w:tr>
      <w:tr w:rsidR="009B548D" w:rsidRPr="0040185E" w:rsidTr="00E21681">
        <w:tc>
          <w:tcPr>
            <w:tcW w:w="9288" w:type="dxa"/>
          </w:tcPr>
          <w:p w:rsidR="009B548D" w:rsidRPr="005740D1" w:rsidRDefault="009B548D" w:rsidP="00E21681">
            <w:pPr>
              <w:rPr>
                <w:rFonts w:ascii="Calibri" w:hAnsi="Calibri"/>
              </w:rPr>
            </w:pPr>
            <w:r w:rsidRPr="005740D1">
              <w:rPr>
                <w:rFonts w:ascii="Calibri" w:hAnsi="Calibri"/>
                <w:b/>
              </w:rPr>
              <w:t xml:space="preserve">Is the </w:t>
            </w:r>
            <w:r>
              <w:rPr>
                <w:rFonts w:ascii="Calibri" w:hAnsi="Calibri"/>
                <w:b/>
              </w:rPr>
              <w:t xml:space="preserve">student </w:t>
            </w:r>
            <w:r w:rsidRPr="005740D1">
              <w:rPr>
                <w:rFonts w:ascii="Calibri" w:hAnsi="Calibri"/>
                <w:b/>
              </w:rPr>
              <w:t xml:space="preserve">able to pursue the research project at that level? </w:t>
            </w:r>
            <w:r w:rsidRPr="005740D1">
              <w:rPr>
                <w:rFonts w:ascii="Calibri" w:hAnsi="Calibri"/>
              </w:rPr>
              <w:t>(please provide comments</w:t>
            </w:r>
            <w:r>
              <w:rPr>
                <w:rFonts w:ascii="Calibri" w:hAnsi="Calibri"/>
              </w:rPr>
              <w:t xml:space="preserve"> addressing the following: background experience and qualifications of the candidate).  </w:t>
            </w: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Pr="005740D1"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r w:rsidRPr="00975B38">
              <w:rPr>
                <w:rFonts w:ascii="Calibri" w:hAnsi="Calibri"/>
                <w:b/>
              </w:rPr>
              <w:t>Are there sufficient resources available?</w:t>
            </w:r>
            <w:r>
              <w:rPr>
                <w:rFonts w:ascii="Calibri" w:hAnsi="Calibri"/>
              </w:rPr>
              <w:t xml:space="preserve"> (Please address the following: any projected research costs and the sources of funding.  Access to appropriate equipment.  Any fieldwork costs and travel and subsistence.  Please consider the scale and access for fieldwork).</w:t>
            </w: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Pr="005740D1" w:rsidRDefault="009B548D" w:rsidP="00E21681">
            <w:pPr>
              <w:rPr>
                <w:rFonts w:ascii="Calibri" w:hAnsi="Calibri"/>
              </w:rPr>
            </w:pPr>
          </w:p>
        </w:tc>
      </w:tr>
      <w:tr w:rsidR="009B548D" w:rsidRPr="0040185E" w:rsidTr="00E21681">
        <w:tc>
          <w:tcPr>
            <w:tcW w:w="9288" w:type="dxa"/>
          </w:tcPr>
          <w:p w:rsidR="009B548D" w:rsidRDefault="009B548D" w:rsidP="00E21681">
            <w:pPr>
              <w:rPr>
                <w:rFonts w:ascii="Calibri" w:hAnsi="Calibri"/>
              </w:rPr>
            </w:pPr>
            <w:r w:rsidRPr="00975B38">
              <w:rPr>
                <w:rFonts w:ascii="Calibri" w:hAnsi="Calibri"/>
                <w:b/>
              </w:rPr>
              <w:t xml:space="preserve">Does the </w:t>
            </w:r>
            <w:r>
              <w:rPr>
                <w:rFonts w:ascii="Calibri" w:hAnsi="Calibri"/>
                <w:b/>
              </w:rPr>
              <w:t xml:space="preserve">student </w:t>
            </w:r>
            <w:r w:rsidRPr="00975B38">
              <w:rPr>
                <w:rFonts w:ascii="Calibri" w:hAnsi="Calibri"/>
                <w:b/>
              </w:rPr>
              <w:t>have any training needs</w:t>
            </w:r>
            <w:r>
              <w:rPr>
                <w:rFonts w:ascii="Calibri" w:hAnsi="Calibri"/>
                <w:b/>
              </w:rPr>
              <w:t xml:space="preserve"> and have they begun their Training Needs Analysis for their RTP</w:t>
            </w:r>
            <w:r w:rsidRPr="00975B38">
              <w:rPr>
                <w:rFonts w:ascii="Calibri" w:hAnsi="Calibri"/>
                <w:b/>
              </w:rPr>
              <w:t>?</w:t>
            </w:r>
            <w:r>
              <w:rPr>
                <w:rFonts w:ascii="Calibri" w:hAnsi="Calibri"/>
                <w:b/>
              </w:rPr>
              <w:t xml:space="preserve"> </w:t>
            </w:r>
            <w:r w:rsidRPr="00975B38">
              <w:rPr>
                <w:rFonts w:ascii="Calibri" w:hAnsi="Calibri"/>
              </w:rPr>
              <w:t xml:space="preserve">(please </w:t>
            </w:r>
            <w:r>
              <w:rPr>
                <w:rFonts w:ascii="Calibri" w:hAnsi="Calibri"/>
              </w:rPr>
              <w:t>address the following: has the candidate attached their training needs analysis, have they identified their developments needs please comment on how these can be met?)</w:t>
            </w: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Pr="005740D1" w:rsidRDefault="009B548D" w:rsidP="00E21681">
            <w:pPr>
              <w:rPr>
                <w:rFonts w:ascii="Calibri" w:hAnsi="Calibri"/>
                <w:b/>
              </w:rPr>
            </w:pPr>
          </w:p>
        </w:tc>
      </w:tr>
      <w:tr w:rsidR="009B548D" w:rsidRPr="0040185E" w:rsidTr="00E21681">
        <w:tc>
          <w:tcPr>
            <w:tcW w:w="9288" w:type="dxa"/>
          </w:tcPr>
          <w:p w:rsidR="009B548D" w:rsidRDefault="009B548D" w:rsidP="00E21681">
            <w:pPr>
              <w:rPr>
                <w:rFonts w:ascii="Calibri" w:hAnsi="Calibri"/>
              </w:rPr>
            </w:pPr>
            <w:r>
              <w:rPr>
                <w:rFonts w:ascii="Calibri" w:hAnsi="Calibri"/>
                <w:b/>
              </w:rPr>
              <w:t xml:space="preserve">Have any ethical issues been addressed? </w:t>
            </w:r>
            <w:r w:rsidRPr="00975B38">
              <w:rPr>
                <w:rFonts w:ascii="Calibri" w:hAnsi="Calibri"/>
              </w:rPr>
              <w:t xml:space="preserve">(please </w:t>
            </w:r>
            <w:r>
              <w:rPr>
                <w:rFonts w:ascii="Calibri" w:hAnsi="Calibri"/>
              </w:rPr>
              <w:t>address the following: what ethical issues are associated with this project, have they been appropriately considered as part of the project timeline?)</w:t>
            </w: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Default="009B548D" w:rsidP="00E21681">
            <w:pPr>
              <w:rPr>
                <w:rFonts w:ascii="Calibri" w:hAnsi="Calibri"/>
              </w:rPr>
            </w:pPr>
          </w:p>
          <w:p w:rsidR="009B548D" w:rsidRPr="005740D1" w:rsidRDefault="009B548D" w:rsidP="00E21681">
            <w:pPr>
              <w:rPr>
                <w:rFonts w:ascii="Calibri" w:hAnsi="Calibri"/>
                <w:b/>
              </w:rPr>
            </w:pPr>
          </w:p>
        </w:tc>
      </w:tr>
      <w:tr w:rsidR="009B548D" w:rsidRPr="0040185E" w:rsidTr="00E21681">
        <w:tc>
          <w:tcPr>
            <w:tcW w:w="9288" w:type="dxa"/>
          </w:tcPr>
          <w:p w:rsidR="009B548D" w:rsidRPr="00C22EE7" w:rsidRDefault="009B548D" w:rsidP="00E21681">
            <w:pPr>
              <w:rPr>
                <w:rFonts w:ascii="Calibri" w:hAnsi="Calibri"/>
              </w:rPr>
            </w:pPr>
            <w:r>
              <w:rPr>
                <w:rFonts w:ascii="Calibri" w:hAnsi="Calibri"/>
                <w:b/>
              </w:rPr>
              <w:t xml:space="preserve">Please comment on the student’s timeline?  </w:t>
            </w:r>
            <w:r w:rsidRPr="00C22EE7">
              <w:rPr>
                <w:rFonts w:ascii="Calibri" w:hAnsi="Calibri"/>
              </w:rPr>
              <w:t xml:space="preserve">(please provide </w:t>
            </w:r>
            <w:r>
              <w:rPr>
                <w:rFonts w:ascii="Calibri" w:hAnsi="Calibri"/>
              </w:rPr>
              <w:t xml:space="preserve">specific </w:t>
            </w:r>
            <w:r w:rsidRPr="00C22EE7">
              <w:rPr>
                <w:rFonts w:ascii="Calibri" w:hAnsi="Calibri"/>
              </w:rPr>
              <w:t>detail of where the student should be at their first annual progression?)</w:t>
            </w:r>
          </w:p>
          <w:p w:rsidR="009B548D" w:rsidRPr="00C22EE7" w:rsidRDefault="009B548D" w:rsidP="00E21681">
            <w:pPr>
              <w:rPr>
                <w:rFonts w:ascii="Calibri" w:hAnsi="Calibri"/>
              </w:rPr>
            </w:pPr>
          </w:p>
          <w:p w:rsidR="009B548D" w:rsidRDefault="009B548D" w:rsidP="00E21681">
            <w:pPr>
              <w:rPr>
                <w:rFonts w:ascii="Calibri" w:hAnsi="Calibri"/>
                <w:b/>
              </w:rPr>
            </w:pPr>
          </w:p>
          <w:p w:rsidR="009B548D" w:rsidRDefault="009B548D" w:rsidP="00E21681">
            <w:pPr>
              <w:rPr>
                <w:rFonts w:ascii="Calibri" w:hAnsi="Calibri"/>
                <w:b/>
              </w:rPr>
            </w:pPr>
          </w:p>
          <w:p w:rsidR="009B548D" w:rsidRDefault="009B548D" w:rsidP="00E21681">
            <w:pPr>
              <w:rPr>
                <w:rFonts w:ascii="Calibri" w:hAnsi="Calibri"/>
                <w:b/>
              </w:rPr>
            </w:pPr>
          </w:p>
          <w:p w:rsidR="009B548D" w:rsidRDefault="009B548D" w:rsidP="00E21681">
            <w:pPr>
              <w:rPr>
                <w:rFonts w:ascii="Calibri" w:hAnsi="Calibri"/>
                <w:b/>
              </w:rPr>
            </w:pPr>
          </w:p>
          <w:p w:rsidR="009B548D" w:rsidRDefault="009B548D" w:rsidP="00E21681">
            <w:pPr>
              <w:rPr>
                <w:rFonts w:ascii="Calibri" w:hAnsi="Calibri"/>
                <w:b/>
              </w:rPr>
            </w:pPr>
          </w:p>
        </w:tc>
      </w:tr>
      <w:tr w:rsidR="009B548D" w:rsidRPr="0040185E" w:rsidTr="00E21681">
        <w:tc>
          <w:tcPr>
            <w:tcW w:w="9288" w:type="dxa"/>
            <w:tcBorders>
              <w:top w:val="single" w:sz="4" w:space="0" w:color="auto"/>
              <w:left w:val="single" w:sz="4" w:space="0" w:color="auto"/>
              <w:bottom w:val="single" w:sz="4" w:space="0" w:color="auto"/>
              <w:right w:val="single" w:sz="4" w:space="0" w:color="auto"/>
            </w:tcBorders>
          </w:tcPr>
          <w:p w:rsidR="009B548D" w:rsidRDefault="009B548D" w:rsidP="00E21681">
            <w:pPr>
              <w:rPr>
                <w:rFonts w:ascii="Calibri" w:hAnsi="Calibri"/>
                <w:b/>
              </w:rPr>
            </w:pPr>
            <w:r>
              <w:rPr>
                <w:rFonts w:ascii="Calibri" w:hAnsi="Calibri"/>
                <w:b/>
              </w:rPr>
              <w:t>Please confirm the student’s supervisory team at present</w:t>
            </w:r>
            <w:r w:rsidR="00F75E32">
              <w:rPr>
                <w:rFonts w:ascii="Calibri" w:hAnsi="Calibri"/>
                <w:b/>
              </w:rPr>
              <w:t xml:space="preserve"> (list them below)</w:t>
            </w:r>
            <w:r>
              <w:rPr>
                <w:rFonts w:ascii="Calibri" w:hAnsi="Calibri"/>
                <w:b/>
              </w:rPr>
              <w:t xml:space="preserve">.  </w:t>
            </w:r>
            <w:r w:rsidRPr="002B2FD4">
              <w:rPr>
                <w:rFonts w:ascii="Calibri" w:hAnsi="Calibri"/>
                <w:b/>
              </w:rPr>
              <w:t>Please state whether the team is appropriate to</w:t>
            </w:r>
            <w:r w:rsidR="00F75E32">
              <w:rPr>
                <w:rFonts w:ascii="Calibri" w:hAnsi="Calibri"/>
                <w:b/>
              </w:rPr>
              <w:t xml:space="preserve"> the project?</w:t>
            </w:r>
          </w:p>
          <w:p w:rsidR="00F75E32" w:rsidRDefault="00F75E32" w:rsidP="00F75E32">
            <w:pPr>
              <w:spacing w:after="0"/>
              <w:rPr>
                <w:rFonts w:ascii="Calibri" w:hAnsi="Calibri"/>
                <w:b/>
              </w:rPr>
            </w:pPr>
            <w:r>
              <w:rPr>
                <w:rFonts w:ascii="Calibri" w:hAnsi="Calibri"/>
                <w:b/>
              </w:rPr>
              <w:t>Director of Studies:</w:t>
            </w:r>
          </w:p>
          <w:p w:rsidR="00F75E32" w:rsidRPr="002B2FD4" w:rsidRDefault="00F75E32" w:rsidP="00F75E32">
            <w:pPr>
              <w:spacing w:after="0"/>
              <w:rPr>
                <w:rFonts w:ascii="Calibri" w:hAnsi="Calibri"/>
                <w:b/>
              </w:rPr>
            </w:pPr>
            <w:r>
              <w:rPr>
                <w:rFonts w:ascii="Calibri" w:hAnsi="Calibri"/>
                <w:b/>
              </w:rPr>
              <w:t>Supervisor:</w:t>
            </w:r>
          </w:p>
          <w:p w:rsidR="009B548D" w:rsidRDefault="009B548D" w:rsidP="00E21681">
            <w:pPr>
              <w:rPr>
                <w:rFonts w:ascii="Calibri" w:hAnsi="Calibri"/>
                <w:b/>
              </w:rPr>
            </w:pPr>
          </w:p>
          <w:p w:rsidR="00F75E32" w:rsidRDefault="00F75E32" w:rsidP="00E21681">
            <w:pPr>
              <w:rPr>
                <w:rFonts w:ascii="Calibri" w:hAnsi="Calibri"/>
                <w:b/>
              </w:rPr>
            </w:pPr>
          </w:p>
          <w:p w:rsidR="00F75E32" w:rsidRDefault="00F75E32" w:rsidP="00E21681">
            <w:pPr>
              <w:rPr>
                <w:rFonts w:ascii="Calibri" w:hAnsi="Calibri"/>
                <w:b/>
              </w:rPr>
            </w:pPr>
          </w:p>
          <w:p w:rsidR="009B548D" w:rsidRDefault="009B548D" w:rsidP="00E21681">
            <w:pPr>
              <w:rPr>
                <w:rFonts w:ascii="Calibri" w:hAnsi="Calibri"/>
                <w:b/>
              </w:rPr>
            </w:pPr>
          </w:p>
          <w:p w:rsidR="009B548D" w:rsidRDefault="009B548D" w:rsidP="00E21681">
            <w:pPr>
              <w:rPr>
                <w:rFonts w:ascii="Calibri" w:hAnsi="Calibri"/>
                <w:b/>
              </w:rPr>
            </w:pPr>
          </w:p>
        </w:tc>
      </w:tr>
    </w:tbl>
    <w:p w:rsidR="009B548D" w:rsidRDefault="009B548D" w:rsidP="009B548D">
      <w:pPr>
        <w:rPr>
          <w:rFonts w:eastAsia="Times New Roman"/>
          <w:lang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760"/>
        <w:gridCol w:w="670"/>
        <w:gridCol w:w="3470"/>
        <w:gridCol w:w="471"/>
        <w:gridCol w:w="249"/>
      </w:tblGrid>
      <w:tr w:rsidR="009B548D" w:rsidRPr="00D953AE" w:rsidTr="00E21681">
        <w:tc>
          <w:tcPr>
            <w:tcW w:w="1668" w:type="dxa"/>
          </w:tcPr>
          <w:p w:rsidR="009B548D" w:rsidRPr="005740D1" w:rsidRDefault="009B548D" w:rsidP="00E21681">
            <w:pPr>
              <w:autoSpaceDE w:val="0"/>
              <w:autoSpaceDN w:val="0"/>
              <w:adjustRightInd w:val="0"/>
              <w:spacing w:line="360" w:lineRule="auto"/>
              <w:jc w:val="center"/>
              <w:rPr>
                <w:rFonts w:ascii="Calibri" w:hAnsi="Calibri" w:cs="Arial"/>
                <w:b/>
                <w:color w:val="000000"/>
              </w:rPr>
            </w:pPr>
            <w:r w:rsidRPr="005740D1">
              <w:rPr>
                <w:rFonts w:ascii="Calibri" w:hAnsi="Calibri" w:cs="Arial"/>
                <w:b/>
                <w:color w:val="000000"/>
              </w:rPr>
              <w:t xml:space="preserve">Outcome </w:t>
            </w:r>
            <w:r w:rsidRPr="005740D1">
              <w:rPr>
                <w:rFonts w:ascii="Calibri" w:hAnsi="Calibri" w:cs="Arial"/>
                <w:color w:val="000000"/>
              </w:rPr>
              <w:t xml:space="preserve">- </w:t>
            </w:r>
          </w:p>
        </w:tc>
        <w:tc>
          <w:tcPr>
            <w:tcW w:w="7620" w:type="dxa"/>
            <w:gridSpan w:val="5"/>
          </w:tcPr>
          <w:p w:rsidR="009B548D" w:rsidRPr="005740D1" w:rsidRDefault="009B548D" w:rsidP="00E21681">
            <w:pPr>
              <w:autoSpaceDE w:val="0"/>
              <w:autoSpaceDN w:val="0"/>
              <w:adjustRightInd w:val="0"/>
              <w:spacing w:line="360" w:lineRule="auto"/>
              <w:jc w:val="center"/>
              <w:rPr>
                <w:rFonts w:ascii="Calibri" w:hAnsi="Calibri" w:cs="Arial"/>
                <w:b/>
                <w:color w:val="000000"/>
              </w:rPr>
            </w:pPr>
            <w:r>
              <w:rPr>
                <w:rFonts w:ascii="Calibri" w:hAnsi="Calibri" w:cs="Arial"/>
                <w:b/>
                <w:color w:val="000000"/>
              </w:rPr>
              <w:t>Comments / Further Information / Advice</w:t>
            </w:r>
          </w:p>
        </w:tc>
      </w:tr>
      <w:tr w:rsidR="009B548D" w:rsidRPr="00D953AE" w:rsidTr="00F75E32">
        <w:trPr>
          <w:trHeight w:val="345"/>
        </w:trPr>
        <w:tc>
          <w:tcPr>
            <w:tcW w:w="1668" w:type="dxa"/>
            <w:vMerge w:val="restart"/>
          </w:tcPr>
          <w:p w:rsidR="009B548D" w:rsidRDefault="009B548D" w:rsidP="00E21681">
            <w:pPr>
              <w:autoSpaceDE w:val="0"/>
              <w:autoSpaceDN w:val="0"/>
              <w:adjustRightInd w:val="0"/>
              <w:spacing w:line="360" w:lineRule="auto"/>
              <w:rPr>
                <w:rFonts w:ascii="Calibri" w:hAnsi="Calibri" w:cs="Arial"/>
                <w:color w:val="000000"/>
                <w:sz w:val="20"/>
                <w:szCs w:val="20"/>
              </w:rPr>
            </w:pPr>
            <w:r w:rsidRPr="005740D1">
              <w:rPr>
                <w:rFonts w:ascii="Calibri" w:hAnsi="Calibri" w:cs="Arial"/>
                <w:color w:val="000000"/>
                <w:sz w:val="20"/>
                <w:szCs w:val="20"/>
              </w:rPr>
              <w:t xml:space="preserve">1) </w:t>
            </w:r>
            <w:r w:rsidRPr="005740D1">
              <w:rPr>
                <w:rFonts w:ascii="Calibri" w:hAnsi="Calibri" w:cs="Arial"/>
                <w:b/>
                <w:color w:val="000000"/>
                <w:sz w:val="20"/>
                <w:szCs w:val="20"/>
              </w:rPr>
              <w:t>Confirmation of registration</w:t>
            </w:r>
            <w:r w:rsidRPr="005740D1">
              <w:rPr>
                <w:rFonts w:ascii="Calibri" w:hAnsi="Calibri" w:cs="Arial"/>
                <w:color w:val="000000"/>
                <w:sz w:val="20"/>
                <w:szCs w:val="20"/>
              </w:rPr>
              <w:t xml:space="preserve"> for the award. </w:t>
            </w:r>
            <w:r>
              <w:rPr>
                <w:rFonts w:ascii="Calibri" w:hAnsi="Calibri" w:cs="Arial"/>
                <w:color w:val="000000"/>
                <w:sz w:val="20"/>
                <w:szCs w:val="20"/>
              </w:rPr>
              <w:t>(Tick appropriate award)</w:t>
            </w: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Pr="00B02F83" w:rsidRDefault="009B548D" w:rsidP="00E21681">
            <w:pPr>
              <w:autoSpaceDE w:val="0"/>
              <w:autoSpaceDN w:val="0"/>
              <w:adjustRightInd w:val="0"/>
              <w:spacing w:line="360" w:lineRule="auto"/>
              <w:rPr>
                <w:rFonts w:ascii="Calibri" w:hAnsi="Calibri" w:cs="Arial"/>
                <w:color w:val="000000"/>
                <w:sz w:val="20"/>
                <w:szCs w:val="20"/>
              </w:rPr>
            </w:pPr>
          </w:p>
        </w:tc>
        <w:tc>
          <w:tcPr>
            <w:tcW w:w="3430" w:type="dxa"/>
            <w:gridSpan w:val="2"/>
          </w:tcPr>
          <w:p w:rsidR="009B548D" w:rsidRDefault="009B548D" w:rsidP="00E21681">
            <w:pPr>
              <w:autoSpaceDE w:val="0"/>
              <w:autoSpaceDN w:val="0"/>
              <w:adjustRightInd w:val="0"/>
              <w:spacing w:line="360" w:lineRule="auto"/>
              <w:rPr>
                <w:rFonts w:ascii="Calibri" w:hAnsi="Calibri" w:cs="Arial"/>
                <w:color w:val="000000"/>
                <w:sz w:val="20"/>
                <w:szCs w:val="20"/>
              </w:rPr>
            </w:pPr>
            <w:r w:rsidRPr="005740D1">
              <w:rPr>
                <w:rFonts w:ascii="Calibri" w:hAnsi="Calibri" w:cs="Arial"/>
                <w:color w:val="000000"/>
                <w:sz w:val="20"/>
                <w:szCs w:val="20"/>
              </w:rPr>
              <w:t>PhD/</w:t>
            </w:r>
            <w:r>
              <w:rPr>
                <w:rFonts w:ascii="Calibri" w:hAnsi="Calibri" w:cs="Arial"/>
                <w:color w:val="000000"/>
                <w:sz w:val="20"/>
                <w:szCs w:val="20"/>
              </w:rPr>
              <w:t xml:space="preserve"> Other PhD</w:t>
            </w:r>
          </w:p>
        </w:tc>
        <w:tc>
          <w:tcPr>
            <w:tcW w:w="3941" w:type="dxa"/>
            <w:gridSpan w:val="2"/>
          </w:tcPr>
          <w:p w:rsidR="009B548D" w:rsidRPr="005740D1" w:rsidRDefault="009B548D" w:rsidP="00E21681">
            <w:pPr>
              <w:autoSpaceDE w:val="0"/>
              <w:autoSpaceDN w:val="0"/>
              <w:adjustRightInd w:val="0"/>
              <w:spacing w:line="360" w:lineRule="auto"/>
              <w:rPr>
                <w:rFonts w:ascii="Calibri" w:hAnsi="Calibri" w:cs="Arial"/>
                <w:color w:val="000000"/>
                <w:sz w:val="20"/>
                <w:szCs w:val="20"/>
              </w:rPr>
            </w:pPr>
            <w:r w:rsidRPr="005740D1">
              <w:rPr>
                <w:rFonts w:ascii="Calibri" w:hAnsi="Calibri" w:cs="Arial"/>
                <w:color w:val="000000"/>
                <w:sz w:val="20"/>
                <w:szCs w:val="20"/>
              </w:rPr>
              <w:t>MPhil</w:t>
            </w:r>
          </w:p>
        </w:tc>
        <w:tc>
          <w:tcPr>
            <w:tcW w:w="249" w:type="dxa"/>
          </w:tcPr>
          <w:p w:rsidR="009B548D" w:rsidRPr="005740D1" w:rsidRDefault="009B548D" w:rsidP="00E21681">
            <w:pPr>
              <w:autoSpaceDE w:val="0"/>
              <w:autoSpaceDN w:val="0"/>
              <w:adjustRightInd w:val="0"/>
              <w:spacing w:line="360" w:lineRule="auto"/>
              <w:rPr>
                <w:rFonts w:ascii="Calibri" w:hAnsi="Calibri" w:cs="Arial"/>
                <w:color w:val="000000"/>
                <w:sz w:val="20"/>
                <w:szCs w:val="20"/>
              </w:rPr>
            </w:pPr>
          </w:p>
        </w:tc>
      </w:tr>
      <w:tr w:rsidR="009B548D" w:rsidRPr="00D953AE" w:rsidTr="00F75E32">
        <w:trPr>
          <w:trHeight w:val="345"/>
        </w:trPr>
        <w:tc>
          <w:tcPr>
            <w:tcW w:w="1668" w:type="dxa"/>
            <w:vMerge/>
          </w:tcPr>
          <w:p w:rsidR="009B548D" w:rsidRPr="005740D1" w:rsidRDefault="009B548D" w:rsidP="00E21681">
            <w:pPr>
              <w:autoSpaceDE w:val="0"/>
              <w:autoSpaceDN w:val="0"/>
              <w:adjustRightInd w:val="0"/>
              <w:spacing w:line="360" w:lineRule="auto"/>
              <w:rPr>
                <w:rFonts w:ascii="Calibri" w:hAnsi="Calibri" w:cs="Arial"/>
                <w:color w:val="000000"/>
                <w:sz w:val="20"/>
                <w:szCs w:val="20"/>
              </w:rPr>
            </w:pPr>
          </w:p>
        </w:tc>
        <w:tc>
          <w:tcPr>
            <w:tcW w:w="3430" w:type="dxa"/>
            <w:gridSpan w:val="2"/>
          </w:tcPr>
          <w:p w:rsidR="009B548D" w:rsidRPr="005740D1" w:rsidRDefault="009B548D" w:rsidP="00E21681">
            <w:pPr>
              <w:autoSpaceDE w:val="0"/>
              <w:autoSpaceDN w:val="0"/>
              <w:adjustRightInd w:val="0"/>
              <w:spacing w:line="360" w:lineRule="auto"/>
              <w:rPr>
                <w:rFonts w:ascii="Calibri" w:hAnsi="Calibri" w:cs="Arial"/>
                <w:color w:val="000000"/>
                <w:sz w:val="20"/>
                <w:szCs w:val="20"/>
              </w:rPr>
            </w:pPr>
          </w:p>
        </w:tc>
        <w:tc>
          <w:tcPr>
            <w:tcW w:w="3941" w:type="dxa"/>
            <w:gridSpan w:val="2"/>
          </w:tcPr>
          <w:p w:rsidR="009B548D" w:rsidRPr="005740D1" w:rsidRDefault="009B548D" w:rsidP="00E21681">
            <w:pPr>
              <w:autoSpaceDE w:val="0"/>
              <w:autoSpaceDN w:val="0"/>
              <w:adjustRightInd w:val="0"/>
              <w:spacing w:line="360" w:lineRule="auto"/>
              <w:rPr>
                <w:rFonts w:ascii="Calibri" w:hAnsi="Calibri" w:cs="Arial"/>
                <w:color w:val="000000"/>
                <w:sz w:val="20"/>
                <w:szCs w:val="20"/>
              </w:rPr>
            </w:pPr>
          </w:p>
        </w:tc>
        <w:tc>
          <w:tcPr>
            <w:tcW w:w="249" w:type="dxa"/>
          </w:tcPr>
          <w:p w:rsidR="009B548D" w:rsidRPr="005740D1" w:rsidRDefault="009B548D" w:rsidP="00E21681">
            <w:pPr>
              <w:autoSpaceDE w:val="0"/>
              <w:autoSpaceDN w:val="0"/>
              <w:adjustRightInd w:val="0"/>
              <w:spacing w:line="360" w:lineRule="auto"/>
              <w:rPr>
                <w:rFonts w:ascii="Calibri" w:hAnsi="Calibri" w:cs="Arial"/>
                <w:color w:val="000000"/>
                <w:sz w:val="20"/>
                <w:szCs w:val="20"/>
              </w:rPr>
            </w:pPr>
          </w:p>
        </w:tc>
      </w:tr>
      <w:tr w:rsidR="009B548D" w:rsidRPr="00D953AE" w:rsidTr="00E21681">
        <w:trPr>
          <w:trHeight w:val="2745"/>
        </w:trPr>
        <w:tc>
          <w:tcPr>
            <w:tcW w:w="1668" w:type="dxa"/>
            <w:vMerge/>
          </w:tcPr>
          <w:p w:rsidR="009B548D" w:rsidRPr="005740D1" w:rsidRDefault="009B548D" w:rsidP="00E21681">
            <w:pPr>
              <w:autoSpaceDE w:val="0"/>
              <w:autoSpaceDN w:val="0"/>
              <w:adjustRightInd w:val="0"/>
              <w:spacing w:line="360" w:lineRule="auto"/>
              <w:rPr>
                <w:rFonts w:ascii="Calibri" w:hAnsi="Calibri" w:cs="Arial"/>
                <w:color w:val="000000"/>
                <w:sz w:val="20"/>
                <w:szCs w:val="20"/>
              </w:rPr>
            </w:pPr>
          </w:p>
        </w:tc>
        <w:tc>
          <w:tcPr>
            <w:tcW w:w="7620" w:type="dxa"/>
            <w:gridSpan w:val="5"/>
          </w:tcPr>
          <w:p w:rsidR="009B548D" w:rsidRPr="005740D1" w:rsidRDefault="009B548D" w:rsidP="00E21681">
            <w:pPr>
              <w:autoSpaceDE w:val="0"/>
              <w:autoSpaceDN w:val="0"/>
              <w:adjustRightInd w:val="0"/>
              <w:spacing w:line="360" w:lineRule="auto"/>
              <w:rPr>
                <w:rFonts w:ascii="Calibri" w:hAnsi="Calibri" w:cs="Arial"/>
                <w:color w:val="000000"/>
                <w:sz w:val="20"/>
                <w:szCs w:val="20"/>
              </w:rPr>
            </w:pPr>
            <w:r>
              <w:rPr>
                <w:rFonts w:ascii="Calibri" w:hAnsi="Calibri" w:cs="Arial"/>
                <w:color w:val="000000"/>
                <w:sz w:val="20"/>
                <w:szCs w:val="20"/>
              </w:rPr>
              <w:t>The panel are welcome to make any suggestions or give any guidance here.</w:t>
            </w:r>
          </w:p>
        </w:tc>
      </w:tr>
      <w:tr w:rsidR="009B548D" w:rsidRPr="00D953AE" w:rsidTr="00E21681">
        <w:tc>
          <w:tcPr>
            <w:tcW w:w="1668" w:type="dxa"/>
          </w:tcPr>
          <w:p w:rsidR="009B548D" w:rsidRPr="005740D1" w:rsidRDefault="009B548D" w:rsidP="00E21681">
            <w:pPr>
              <w:autoSpaceDE w:val="0"/>
              <w:autoSpaceDN w:val="0"/>
              <w:adjustRightInd w:val="0"/>
              <w:spacing w:line="360" w:lineRule="auto"/>
              <w:rPr>
                <w:rFonts w:ascii="Calibri" w:hAnsi="Calibri" w:cs="Arial"/>
                <w:color w:val="000000"/>
                <w:sz w:val="20"/>
                <w:szCs w:val="20"/>
              </w:rPr>
            </w:pPr>
            <w:r w:rsidRPr="005740D1">
              <w:rPr>
                <w:rFonts w:ascii="Calibri" w:hAnsi="Calibri" w:cs="Arial"/>
                <w:color w:val="000000"/>
                <w:sz w:val="20"/>
                <w:szCs w:val="20"/>
              </w:rPr>
              <w:t>2)</w:t>
            </w:r>
            <w:r w:rsidRPr="005740D1">
              <w:rPr>
                <w:rFonts w:ascii="Calibri" w:hAnsi="Calibri" w:cs="Arial"/>
                <w:b/>
                <w:color w:val="000000"/>
                <w:sz w:val="20"/>
                <w:szCs w:val="20"/>
              </w:rPr>
              <w:t xml:space="preserve"> </w:t>
            </w:r>
            <w:r>
              <w:rPr>
                <w:rFonts w:ascii="Calibri" w:hAnsi="Calibri" w:cs="Arial"/>
                <w:b/>
                <w:color w:val="000000"/>
                <w:sz w:val="20"/>
                <w:szCs w:val="20"/>
              </w:rPr>
              <w:t>Confirmation of Registration for a lesser award.</w:t>
            </w:r>
          </w:p>
        </w:tc>
        <w:tc>
          <w:tcPr>
            <w:tcW w:w="7620" w:type="dxa"/>
            <w:gridSpan w:val="5"/>
          </w:tcPr>
          <w:p w:rsidR="009B548D" w:rsidRDefault="009B548D" w:rsidP="00E21681">
            <w:pPr>
              <w:autoSpaceDE w:val="0"/>
              <w:autoSpaceDN w:val="0"/>
              <w:adjustRightInd w:val="0"/>
              <w:spacing w:line="360" w:lineRule="auto"/>
              <w:rPr>
                <w:rFonts w:ascii="Calibri" w:hAnsi="Calibri" w:cs="Arial"/>
                <w:color w:val="000000"/>
                <w:sz w:val="20"/>
                <w:szCs w:val="20"/>
                <w:u w:val="single"/>
              </w:rPr>
            </w:pPr>
            <w:r w:rsidRPr="00ED49B7">
              <w:rPr>
                <w:rFonts w:ascii="Calibri" w:hAnsi="Calibri" w:cs="Arial"/>
                <w:color w:val="000000"/>
                <w:sz w:val="20"/>
                <w:szCs w:val="20"/>
              </w:rPr>
              <w:t xml:space="preserve">The panel should detail clearly the </w:t>
            </w:r>
            <w:r>
              <w:rPr>
                <w:rFonts w:ascii="Calibri" w:hAnsi="Calibri" w:cs="Arial"/>
                <w:color w:val="000000"/>
                <w:sz w:val="20"/>
                <w:szCs w:val="20"/>
              </w:rPr>
              <w:t>rationale for a lesser award and detail the major limitations with the proposal.</w:t>
            </w: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F75E32" w:rsidRDefault="00F75E32" w:rsidP="00E21681">
            <w:pPr>
              <w:autoSpaceDE w:val="0"/>
              <w:autoSpaceDN w:val="0"/>
              <w:adjustRightInd w:val="0"/>
              <w:spacing w:line="360" w:lineRule="auto"/>
              <w:rPr>
                <w:rFonts w:ascii="Calibri" w:hAnsi="Calibri" w:cs="Arial"/>
                <w:color w:val="000000"/>
                <w:sz w:val="20"/>
                <w:szCs w:val="20"/>
                <w:u w:val="single"/>
              </w:rPr>
            </w:pPr>
          </w:p>
          <w:p w:rsidR="00F75E32" w:rsidRDefault="00F75E32"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Pr="005740D1" w:rsidRDefault="009B548D" w:rsidP="00E21681">
            <w:pPr>
              <w:autoSpaceDE w:val="0"/>
              <w:autoSpaceDN w:val="0"/>
              <w:adjustRightInd w:val="0"/>
              <w:spacing w:line="360" w:lineRule="auto"/>
              <w:rPr>
                <w:rFonts w:ascii="Calibri" w:hAnsi="Calibri" w:cs="Arial"/>
                <w:color w:val="000000"/>
                <w:sz w:val="20"/>
                <w:szCs w:val="20"/>
                <w:u w:val="single"/>
              </w:rPr>
            </w:pPr>
          </w:p>
        </w:tc>
      </w:tr>
      <w:tr w:rsidR="009B548D" w:rsidRPr="00D953AE" w:rsidTr="00E21681">
        <w:tc>
          <w:tcPr>
            <w:tcW w:w="1668" w:type="dxa"/>
          </w:tcPr>
          <w:p w:rsidR="009B548D" w:rsidRDefault="009B548D" w:rsidP="00E21681">
            <w:pPr>
              <w:autoSpaceDE w:val="0"/>
              <w:autoSpaceDN w:val="0"/>
              <w:adjustRightInd w:val="0"/>
              <w:spacing w:line="360" w:lineRule="auto"/>
              <w:rPr>
                <w:rFonts w:ascii="Calibri" w:hAnsi="Calibri" w:cs="Arial"/>
                <w:b/>
                <w:color w:val="000000"/>
                <w:sz w:val="20"/>
                <w:szCs w:val="20"/>
              </w:rPr>
            </w:pPr>
            <w:r w:rsidRPr="005740D1">
              <w:rPr>
                <w:rFonts w:ascii="Calibri" w:hAnsi="Calibri" w:cs="Arial"/>
                <w:color w:val="000000"/>
                <w:sz w:val="20"/>
                <w:szCs w:val="20"/>
              </w:rPr>
              <w:t xml:space="preserve">3) </w:t>
            </w:r>
            <w:r>
              <w:rPr>
                <w:rFonts w:ascii="Calibri" w:hAnsi="Calibri" w:cs="Arial"/>
                <w:b/>
                <w:color w:val="000000"/>
                <w:sz w:val="20"/>
                <w:szCs w:val="20"/>
              </w:rPr>
              <w:t>Termination of the Programme</w:t>
            </w:r>
          </w:p>
          <w:p w:rsidR="009B548D" w:rsidRDefault="009B548D" w:rsidP="00E21681">
            <w:pPr>
              <w:autoSpaceDE w:val="0"/>
              <w:autoSpaceDN w:val="0"/>
              <w:adjustRightInd w:val="0"/>
              <w:spacing w:line="360" w:lineRule="auto"/>
              <w:rPr>
                <w:rFonts w:ascii="Calibri" w:hAnsi="Calibri" w:cs="Arial"/>
                <w:b/>
                <w:color w:val="000000"/>
                <w:sz w:val="20"/>
                <w:szCs w:val="20"/>
              </w:rPr>
            </w:pPr>
          </w:p>
          <w:p w:rsidR="009B548D" w:rsidRPr="005F3698" w:rsidRDefault="009B548D" w:rsidP="00E21681">
            <w:pPr>
              <w:autoSpaceDE w:val="0"/>
              <w:autoSpaceDN w:val="0"/>
              <w:adjustRightInd w:val="0"/>
              <w:spacing w:line="360" w:lineRule="auto"/>
              <w:rPr>
                <w:rFonts w:ascii="Calibri" w:hAnsi="Calibri" w:cs="Arial"/>
                <w:color w:val="000000"/>
                <w:sz w:val="20"/>
                <w:szCs w:val="20"/>
              </w:rPr>
            </w:pPr>
            <w:r>
              <w:rPr>
                <w:rFonts w:ascii="Calibri" w:hAnsi="Calibri" w:cs="Arial"/>
                <w:color w:val="000000"/>
                <w:sz w:val="20"/>
                <w:szCs w:val="20"/>
              </w:rPr>
              <w:t>(The deficiencies of the proposal / reasons why the programme is being terminated must be specified in the section to the right)</w:t>
            </w:r>
          </w:p>
        </w:tc>
        <w:tc>
          <w:tcPr>
            <w:tcW w:w="7620" w:type="dxa"/>
            <w:gridSpan w:val="5"/>
          </w:tcPr>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Default="009B548D" w:rsidP="00E21681">
            <w:pPr>
              <w:autoSpaceDE w:val="0"/>
              <w:autoSpaceDN w:val="0"/>
              <w:adjustRightInd w:val="0"/>
              <w:spacing w:line="360" w:lineRule="auto"/>
              <w:rPr>
                <w:rFonts w:ascii="Calibri" w:hAnsi="Calibri" w:cs="Arial"/>
                <w:color w:val="000000"/>
                <w:sz w:val="20"/>
                <w:szCs w:val="20"/>
                <w:u w:val="single"/>
              </w:rPr>
            </w:pPr>
          </w:p>
          <w:p w:rsidR="009B548D" w:rsidRPr="005740D1" w:rsidRDefault="009B548D" w:rsidP="00E21681">
            <w:pPr>
              <w:autoSpaceDE w:val="0"/>
              <w:autoSpaceDN w:val="0"/>
              <w:adjustRightInd w:val="0"/>
              <w:spacing w:line="360" w:lineRule="auto"/>
              <w:rPr>
                <w:rFonts w:ascii="Calibri" w:hAnsi="Calibri" w:cs="Arial"/>
                <w:color w:val="000000"/>
                <w:sz w:val="20"/>
                <w:szCs w:val="20"/>
                <w:u w:val="single"/>
              </w:rPr>
            </w:pPr>
          </w:p>
        </w:tc>
      </w:tr>
      <w:tr w:rsidR="009B548D" w:rsidRPr="00D953AE" w:rsidTr="00E21681">
        <w:tblPrEx>
          <w:tblLook w:val="0000" w:firstRow="0" w:lastRow="0" w:firstColumn="0" w:lastColumn="0" w:noHBand="0" w:noVBand="0"/>
        </w:tblPrEx>
        <w:trPr>
          <w:gridAfter w:val="2"/>
          <w:wAfter w:w="720" w:type="dxa"/>
        </w:trPr>
        <w:tc>
          <w:tcPr>
            <w:tcW w:w="4428" w:type="dxa"/>
            <w:gridSpan w:val="2"/>
          </w:tcPr>
          <w:p w:rsidR="009B548D" w:rsidRPr="00D953AE" w:rsidRDefault="009B548D" w:rsidP="00E21681">
            <w:pPr>
              <w:rPr>
                <w:rFonts w:ascii="Calibri" w:hAnsi="Calibri" w:cs="Arial"/>
                <w:b/>
              </w:rPr>
            </w:pPr>
            <w:r w:rsidRPr="00D953AE">
              <w:rPr>
                <w:rFonts w:ascii="Calibri" w:hAnsi="Calibri" w:cs="Arial"/>
                <w:b/>
              </w:rPr>
              <w:t xml:space="preserve">Chair of Review Panel </w:t>
            </w:r>
          </w:p>
          <w:p w:rsidR="009B548D" w:rsidRPr="00D953AE" w:rsidRDefault="009B548D" w:rsidP="00E21681">
            <w:pPr>
              <w:rPr>
                <w:rFonts w:ascii="Calibri" w:hAnsi="Calibri" w:cs="Arial"/>
              </w:rPr>
            </w:pPr>
            <w:r w:rsidRPr="00D953AE">
              <w:rPr>
                <w:rFonts w:ascii="Calibri" w:hAnsi="Calibri" w:cs="Arial"/>
              </w:rPr>
              <w:t>Name</w:t>
            </w:r>
          </w:p>
        </w:tc>
        <w:tc>
          <w:tcPr>
            <w:tcW w:w="4140" w:type="dxa"/>
            <w:gridSpan w:val="2"/>
          </w:tcPr>
          <w:p w:rsidR="009B548D" w:rsidRPr="00D953AE" w:rsidRDefault="009B548D" w:rsidP="00E21681">
            <w:pPr>
              <w:rPr>
                <w:rFonts w:ascii="Calibri" w:hAnsi="Calibri" w:cs="Arial"/>
              </w:rPr>
            </w:pPr>
            <w:r w:rsidRPr="00D953AE">
              <w:rPr>
                <w:rFonts w:ascii="Calibri" w:hAnsi="Calibri" w:cs="Arial"/>
                <w:b/>
              </w:rPr>
              <w:t>Signature</w:t>
            </w:r>
          </w:p>
        </w:tc>
      </w:tr>
      <w:tr w:rsidR="009B548D" w:rsidRPr="00D953AE" w:rsidTr="00E21681">
        <w:tblPrEx>
          <w:tblLook w:val="0000" w:firstRow="0" w:lastRow="0" w:firstColumn="0" w:lastColumn="0" w:noHBand="0" w:noVBand="0"/>
        </w:tblPrEx>
        <w:trPr>
          <w:gridAfter w:val="4"/>
          <w:wAfter w:w="4860" w:type="dxa"/>
        </w:trPr>
        <w:tc>
          <w:tcPr>
            <w:tcW w:w="4428" w:type="dxa"/>
            <w:gridSpan w:val="2"/>
          </w:tcPr>
          <w:p w:rsidR="009B548D" w:rsidRPr="00D953AE" w:rsidRDefault="009B548D" w:rsidP="00E21681">
            <w:pPr>
              <w:rPr>
                <w:rFonts w:ascii="Calibri" w:hAnsi="Calibri" w:cs="Arial"/>
                <w:b/>
              </w:rPr>
            </w:pPr>
            <w:r w:rsidRPr="00D953AE">
              <w:rPr>
                <w:rFonts w:ascii="Calibri" w:hAnsi="Calibri" w:cs="Arial"/>
                <w:b/>
              </w:rPr>
              <w:t>Date</w:t>
            </w:r>
          </w:p>
        </w:tc>
      </w:tr>
    </w:tbl>
    <w:p w:rsidR="009B548D" w:rsidRPr="002B2FD4" w:rsidRDefault="009B548D" w:rsidP="009B548D">
      <w:pPr>
        <w:rPr>
          <w:rFonts w:cs="Arial"/>
          <w:b/>
          <w:sz w:val="24"/>
          <w:szCs w:val="24"/>
        </w:rPr>
      </w:pPr>
      <w:r>
        <w:rPr>
          <w:rFonts w:ascii="Calibri" w:hAnsi="Calibri"/>
          <w:b/>
        </w:rPr>
        <w:br w:type="page"/>
      </w:r>
      <w:r w:rsidRPr="002B2FD4">
        <w:rPr>
          <w:rFonts w:cs="Arial"/>
          <w:b/>
          <w:sz w:val="24"/>
          <w:szCs w:val="24"/>
        </w:rPr>
        <w:t>Appendix A – Extract from the ‘Framework for Higher Education Qualifications in England, Wales and Northern Ireland’ – August 2008   “Descriptor for higher education qualification at level 7: Masters Degree”.</w:t>
      </w:r>
    </w:p>
    <w:p w:rsidR="009B548D" w:rsidRPr="002B2FD4" w:rsidRDefault="009B548D" w:rsidP="009B548D">
      <w:pPr>
        <w:rPr>
          <w:rFonts w:cs="Arial"/>
          <w:b/>
          <w:sz w:val="24"/>
          <w:szCs w:val="24"/>
        </w:rPr>
      </w:pPr>
    </w:p>
    <w:p w:rsidR="009B548D" w:rsidRPr="002B2FD4" w:rsidRDefault="009B548D" w:rsidP="009B548D">
      <w:pPr>
        <w:pStyle w:val="Heading3"/>
        <w:shd w:val="clear" w:color="auto" w:fill="CCCCCC"/>
        <w:rPr>
          <w:rFonts w:ascii="Arial" w:hAnsi="Arial" w:cs="Arial"/>
          <w:sz w:val="24"/>
          <w:szCs w:val="24"/>
        </w:rPr>
      </w:pPr>
      <w:bookmarkStart w:id="0" w:name="p4.4"/>
      <w:bookmarkEnd w:id="0"/>
      <w:r w:rsidRPr="002B2FD4">
        <w:rPr>
          <w:rFonts w:ascii="Arial" w:hAnsi="Arial" w:cs="Arial"/>
          <w:sz w:val="24"/>
          <w:szCs w:val="24"/>
        </w:rPr>
        <w:t>Descriptor for a higher education q</w:t>
      </w:r>
      <w:r>
        <w:rPr>
          <w:rFonts w:ascii="Arial" w:hAnsi="Arial" w:cs="Arial"/>
          <w:sz w:val="24"/>
          <w:szCs w:val="24"/>
        </w:rPr>
        <w:t>ualification at level 7: Master</w:t>
      </w:r>
      <w:r w:rsidRPr="002B2FD4">
        <w:rPr>
          <w:rFonts w:ascii="Arial" w:hAnsi="Arial" w:cs="Arial"/>
          <w:sz w:val="24"/>
          <w:szCs w:val="24"/>
        </w:rPr>
        <w:t xml:space="preserve">s degree </w:t>
      </w:r>
    </w:p>
    <w:p w:rsidR="009B548D" w:rsidRPr="002B2FD4" w:rsidRDefault="009B548D" w:rsidP="009B548D">
      <w:pPr>
        <w:pStyle w:val="NormalWeb"/>
        <w:shd w:val="clear" w:color="auto" w:fill="CCCCCC"/>
        <w:rPr>
          <w:rFonts w:ascii="Arial" w:hAnsi="Arial" w:cs="Arial"/>
        </w:rPr>
      </w:pPr>
      <w:r w:rsidRPr="002B2FD4">
        <w:rPr>
          <w:rFonts w:ascii="Arial" w:hAnsi="Arial" w:cs="Arial"/>
        </w:rPr>
        <w:t xml:space="preserve">The descriptor provided for this level of </w:t>
      </w:r>
      <w:r>
        <w:rPr>
          <w:rFonts w:ascii="Arial" w:hAnsi="Arial" w:cs="Arial"/>
        </w:rPr>
        <w:t>the framework is for any Master</w:t>
      </w:r>
      <w:r w:rsidRPr="002B2FD4">
        <w:rPr>
          <w:rFonts w:ascii="Arial" w:hAnsi="Arial" w:cs="Arial"/>
        </w:rPr>
        <w:t xml:space="preserve">s degree which should meet the descriptor in full. This qualification descriptor can also be used as a reference point for other level 7 qualifications, including postgraduate certificates and postgraduate diplomas. </w:t>
      </w:r>
    </w:p>
    <w:p w:rsidR="009B548D" w:rsidRPr="009B548D" w:rsidRDefault="009B548D" w:rsidP="009B548D">
      <w:pPr>
        <w:pStyle w:val="Heading4"/>
        <w:shd w:val="clear" w:color="auto" w:fill="CCCCCC"/>
        <w:rPr>
          <w:rFonts w:ascii="Arial" w:hAnsi="Arial" w:cs="Arial"/>
          <w:color w:val="auto"/>
          <w:sz w:val="24"/>
          <w:szCs w:val="24"/>
        </w:rPr>
      </w:pPr>
      <w:r w:rsidRPr="009B548D">
        <w:rPr>
          <w:rFonts w:ascii="Arial" w:hAnsi="Arial" w:cs="Arial"/>
          <w:color w:val="auto"/>
          <w:sz w:val="24"/>
          <w:szCs w:val="24"/>
        </w:rPr>
        <w:t xml:space="preserve">Masters degrees are awarded to students who have demonstrated: </w:t>
      </w:r>
    </w:p>
    <w:p w:rsidR="009B548D" w:rsidRPr="009B548D" w:rsidRDefault="009B548D" w:rsidP="009B548D">
      <w:pPr>
        <w:numPr>
          <w:ilvl w:val="0"/>
          <w:numId w:val="1"/>
        </w:numPr>
        <w:shd w:val="clear" w:color="auto" w:fill="CCCCCC"/>
        <w:spacing w:before="100" w:beforeAutospacing="1" w:after="100" w:afterAutospacing="1" w:line="240" w:lineRule="auto"/>
        <w:ind w:hanging="720"/>
        <w:rPr>
          <w:rFonts w:cs="Arial"/>
          <w:color w:val="auto"/>
          <w:sz w:val="24"/>
          <w:szCs w:val="24"/>
        </w:rPr>
      </w:pPr>
      <w:r w:rsidRPr="009B548D">
        <w:rPr>
          <w:rFonts w:cs="Arial"/>
          <w:color w:val="auto"/>
          <w:sz w:val="24"/>
          <w:szCs w:val="24"/>
        </w:rPr>
        <w:t xml:space="preserve">a systematic understanding of knowledge, and a critical awareness of current problems and/or new insights, much of which is at, or informed by, the forefront of their academic discipline, field of study or area of professional practice </w:t>
      </w:r>
    </w:p>
    <w:p w:rsidR="009B548D" w:rsidRPr="009B548D" w:rsidRDefault="009B548D" w:rsidP="009B548D">
      <w:pPr>
        <w:numPr>
          <w:ilvl w:val="0"/>
          <w:numId w:val="1"/>
        </w:numPr>
        <w:shd w:val="clear" w:color="auto" w:fill="CCCCCC"/>
        <w:spacing w:before="100" w:beforeAutospacing="1" w:after="100" w:afterAutospacing="1" w:line="240" w:lineRule="auto"/>
        <w:ind w:hanging="720"/>
        <w:rPr>
          <w:rFonts w:cs="Arial"/>
          <w:color w:val="auto"/>
          <w:sz w:val="24"/>
          <w:szCs w:val="24"/>
        </w:rPr>
      </w:pPr>
      <w:r w:rsidRPr="009B548D">
        <w:rPr>
          <w:rFonts w:cs="Arial"/>
          <w:color w:val="auto"/>
          <w:sz w:val="24"/>
          <w:szCs w:val="24"/>
        </w:rPr>
        <w:t xml:space="preserve">a comprehensive understanding of techniques applicable to their own research or advanced scholarship </w:t>
      </w:r>
    </w:p>
    <w:p w:rsidR="009B548D" w:rsidRPr="009B548D" w:rsidRDefault="009B548D" w:rsidP="009B548D">
      <w:pPr>
        <w:numPr>
          <w:ilvl w:val="0"/>
          <w:numId w:val="1"/>
        </w:numPr>
        <w:shd w:val="clear" w:color="auto" w:fill="CCCCCC"/>
        <w:spacing w:before="100" w:beforeAutospacing="1" w:after="100" w:afterAutospacing="1" w:line="240" w:lineRule="auto"/>
        <w:ind w:hanging="720"/>
        <w:rPr>
          <w:rFonts w:cs="Arial"/>
          <w:color w:val="auto"/>
          <w:sz w:val="24"/>
          <w:szCs w:val="24"/>
        </w:rPr>
      </w:pPr>
      <w:r w:rsidRPr="009B548D">
        <w:rPr>
          <w:rFonts w:cs="Arial"/>
          <w:color w:val="auto"/>
          <w:sz w:val="24"/>
          <w:szCs w:val="24"/>
        </w:rPr>
        <w:t xml:space="preserve">originality in the application of knowledge, together with a practical understanding of how established techniques of research and enquiry are used to create and interpret knowledge in the discipline </w:t>
      </w:r>
    </w:p>
    <w:p w:rsidR="009B548D" w:rsidRPr="009B548D" w:rsidRDefault="009B548D" w:rsidP="009B548D">
      <w:pPr>
        <w:numPr>
          <w:ilvl w:val="0"/>
          <w:numId w:val="1"/>
        </w:numPr>
        <w:shd w:val="clear" w:color="auto" w:fill="CCCCCC"/>
        <w:tabs>
          <w:tab w:val="num" w:pos="0"/>
        </w:tabs>
        <w:spacing w:before="100" w:beforeAutospacing="1" w:after="100" w:afterAutospacing="1" w:line="240" w:lineRule="auto"/>
        <w:ind w:left="0" w:firstLine="0"/>
        <w:rPr>
          <w:rFonts w:cs="Arial"/>
          <w:color w:val="auto"/>
          <w:sz w:val="24"/>
          <w:szCs w:val="24"/>
        </w:rPr>
      </w:pPr>
      <w:r w:rsidRPr="009B548D">
        <w:rPr>
          <w:rFonts w:cs="Arial"/>
          <w:color w:val="auto"/>
          <w:sz w:val="24"/>
          <w:szCs w:val="24"/>
        </w:rPr>
        <w:t xml:space="preserve">conceptual understanding that enables the student: </w:t>
      </w:r>
    </w:p>
    <w:p w:rsidR="009B548D" w:rsidRPr="009B548D" w:rsidRDefault="009B548D" w:rsidP="009B548D">
      <w:pPr>
        <w:numPr>
          <w:ilvl w:val="1"/>
          <w:numId w:val="1"/>
        </w:numPr>
        <w:shd w:val="clear" w:color="auto" w:fill="CCCCCC"/>
        <w:tabs>
          <w:tab w:val="num" w:pos="720"/>
        </w:tabs>
        <w:spacing w:before="100" w:beforeAutospacing="1" w:after="100" w:afterAutospacing="1" w:line="240" w:lineRule="auto"/>
        <w:ind w:left="720"/>
        <w:rPr>
          <w:rFonts w:cs="Arial"/>
          <w:color w:val="auto"/>
          <w:sz w:val="24"/>
          <w:szCs w:val="24"/>
        </w:rPr>
      </w:pPr>
      <w:r w:rsidRPr="009B548D">
        <w:rPr>
          <w:rFonts w:cs="Arial"/>
          <w:color w:val="auto"/>
          <w:sz w:val="24"/>
          <w:szCs w:val="24"/>
        </w:rPr>
        <w:t xml:space="preserve">to evaluate critically current research and advanced scholarship in the discipline </w:t>
      </w:r>
    </w:p>
    <w:p w:rsidR="009B548D" w:rsidRPr="009B548D" w:rsidRDefault="009B548D" w:rsidP="009B548D">
      <w:pPr>
        <w:numPr>
          <w:ilvl w:val="1"/>
          <w:numId w:val="1"/>
        </w:numPr>
        <w:shd w:val="clear" w:color="auto" w:fill="CCCCCC"/>
        <w:tabs>
          <w:tab w:val="num" w:pos="720"/>
        </w:tabs>
        <w:spacing w:before="100" w:beforeAutospacing="1" w:after="100" w:afterAutospacing="1" w:line="240" w:lineRule="auto"/>
        <w:ind w:left="720"/>
        <w:rPr>
          <w:rFonts w:cs="Arial"/>
          <w:color w:val="auto"/>
          <w:sz w:val="24"/>
          <w:szCs w:val="24"/>
        </w:rPr>
      </w:pPr>
      <w:r w:rsidRPr="009B548D">
        <w:rPr>
          <w:rFonts w:cs="Arial"/>
          <w:color w:val="auto"/>
          <w:sz w:val="24"/>
          <w:szCs w:val="24"/>
        </w:rPr>
        <w:t xml:space="preserve">to evaluate methodologies and develop critiques of them and, where appropriate, to propose new hypotheses. </w:t>
      </w:r>
    </w:p>
    <w:p w:rsidR="009B548D" w:rsidRPr="009B548D" w:rsidRDefault="009B548D" w:rsidP="009B548D">
      <w:pPr>
        <w:pStyle w:val="Heading4"/>
        <w:shd w:val="clear" w:color="auto" w:fill="CCCCCC"/>
        <w:rPr>
          <w:rFonts w:ascii="Arial" w:hAnsi="Arial" w:cs="Arial"/>
          <w:color w:val="auto"/>
          <w:sz w:val="24"/>
          <w:szCs w:val="24"/>
        </w:rPr>
      </w:pPr>
      <w:r w:rsidRPr="009B548D">
        <w:rPr>
          <w:rFonts w:ascii="Arial" w:hAnsi="Arial" w:cs="Arial"/>
          <w:color w:val="auto"/>
          <w:sz w:val="24"/>
          <w:szCs w:val="24"/>
        </w:rPr>
        <w:t xml:space="preserve">Typically, holders of the qualification will be able to: </w:t>
      </w:r>
    </w:p>
    <w:p w:rsidR="009B548D" w:rsidRPr="009B548D" w:rsidRDefault="009B548D" w:rsidP="009B548D">
      <w:pPr>
        <w:pStyle w:val="Heading4"/>
        <w:shd w:val="clear" w:color="auto" w:fill="CCCCCC"/>
        <w:rPr>
          <w:rFonts w:ascii="Arial" w:hAnsi="Arial" w:cs="Arial"/>
          <w:color w:val="auto"/>
          <w:sz w:val="24"/>
          <w:szCs w:val="24"/>
        </w:rPr>
      </w:pPr>
      <w:r w:rsidRPr="009B548D">
        <w:rPr>
          <w:rFonts w:ascii="Arial" w:hAnsi="Arial" w:cs="Arial"/>
          <w:color w:val="auto"/>
          <w:sz w:val="24"/>
          <w:szCs w:val="24"/>
        </w:rPr>
        <w:t xml:space="preserve">deal with complex issues both systematically and creatively, make sound judgements in the absence of complete data, and communicate their conclusions clearly to specialist and non-specialist audiences </w:t>
      </w:r>
    </w:p>
    <w:p w:rsidR="009B548D" w:rsidRPr="002B2FD4" w:rsidRDefault="009B548D" w:rsidP="009B548D">
      <w:pPr>
        <w:numPr>
          <w:ilvl w:val="0"/>
          <w:numId w:val="2"/>
        </w:numPr>
        <w:shd w:val="clear" w:color="auto" w:fill="CCCCCC"/>
        <w:spacing w:before="100" w:beforeAutospacing="1" w:after="100" w:afterAutospacing="1" w:line="240" w:lineRule="auto"/>
        <w:ind w:hanging="720"/>
        <w:rPr>
          <w:rFonts w:cs="Arial"/>
          <w:sz w:val="24"/>
          <w:szCs w:val="24"/>
        </w:rPr>
      </w:pPr>
      <w:r w:rsidRPr="002B2FD4">
        <w:rPr>
          <w:rFonts w:cs="Arial"/>
          <w:sz w:val="24"/>
          <w:szCs w:val="24"/>
        </w:rPr>
        <w:t xml:space="preserve">demonstrate self-direction and originality in tackling and solving problems, and act autonomously in planning and implementing tasks at a professional or equivalent level </w:t>
      </w:r>
    </w:p>
    <w:p w:rsidR="009B548D" w:rsidRPr="002B2FD4" w:rsidRDefault="009B548D" w:rsidP="009B548D">
      <w:pPr>
        <w:numPr>
          <w:ilvl w:val="0"/>
          <w:numId w:val="2"/>
        </w:numPr>
        <w:shd w:val="clear" w:color="auto" w:fill="CCCCCC"/>
        <w:spacing w:before="100" w:beforeAutospacing="1" w:after="100" w:afterAutospacing="1" w:line="240" w:lineRule="auto"/>
        <w:ind w:hanging="720"/>
        <w:rPr>
          <w:rFonts w:cs="Arial"/>
          <w:sz w:val="24"/>
          <w:szCs w:val="24"/>
        </w:rPr>
      </w:pPr>
      <w:r w:rsidRPr="002B2FD4">
        <w:rPr>
          <w:rFonts w:cs="Arial"/>
          <w:sz w:val="24"/>
          <w:szCs w:val="24"/>
        </w:rPr>
        <w:t xml:space="preserve">continue to advance their knowledge and understanding, and to develop new skills to a high level. </w:t>
      </w:r>
      <w:r w:rsidRPr="002B2FD4">
        <w:rPr>
          <w:rFonts w:cs="Arial"/>
          <w:sz w:val="24"/>
          <w:szCs w:val="24"/>
        </w:rPr>
        <w:br w:type="page"/>
        <w:t xml:space="preserve">And holders will have: </w:t>
      </w:r>
    </w:p>
    <w:p w:rsidR="009B548D" w:rsidRPr="002B2FD4" w:rsidRDefault="009B548D" w:rsidP="009B548D">
      <w:pPr>
        <w:numPr>
          <w:ilvl w:val="0"/>
          <w:numId w:val="3"/>
        </w:numPr>
        <w:shd w:val="clear" w:color="auto" w:fill="CCCCCC"/>
        <w:spacing w:before="100" w:beforeAutospacing="1" w:after="100" w:afterAutospacing="1" w:line="240" w:lineRule="auto"/>
        <w:ind w:hanging="720"/>
        <w:rPr>
          <w:rFonts w:cs="Arial"/>
          <w:sz w:val="24"/>
          <w:szCs w:val="24"/>
        </w:rPr>
      </w:pPr>
      <w:r w:rsidRPr="002B2FD4">
        <w:rPr>
          <w:rFonts w:cs="Arial"/>
          <w:sz w:val="24"/>
          <w:szCs w:val="24"/>
        </w:rPr>
        <w:t xml:space="preserve">the qualities and transferable skills necessary for employment requiring: </w:t>
      </w:r>
    </w:p>
    <w:p w:rsidR="009B548D" w:rsidRPr="002B2FD4" w:rsidRDefault="009B548D" w:rsidP="009B548D">
      <w:pPr>
        <w:numPr>
          <w:ilvl w:val="1"/>
          <w:numId w:val="3"/>
        </w:numPr>
        <w:shd w:val="clear" w:color="auto" w:fill="CCCCCC"/>
        <w:spacing w:before="100" w:beforeAutospacing="1" w:after="100" w:afterAutospacing="1" w:line="240" w:lineRule="auto"/>
        <w:ind w:hanging="540"/>
        <w:rPr>
          <w:rFonts w:cs="Arial"/>
          <w:sz w:val="24"/>
          <w:szCs w:val="24"/>
        </w:rPr>
      </w:pPr>
      <w:r w:rsidRPr="002B2FD4">
        <w:rPr>
          <w:rFonts w:cs="Arial"/>
          <w:sz w:val="24"/>
          <w:szCs w:val="24"/>
        </w:rPr>
        <w:t xml:space="preserve">the exercise of initiative and personal responsibility </w:t>
      </w:r>
    </w:p>
    <w:p w:rsidR="009B548D" w:rsidRPr="002B2FD4" w:rsidRDefault="009B548D" w:rsidP="009B548D">
      <w:pPr>
        <w:numPr>
          <w:ilvl w:val="1"/>
          <w:numId w:val="3"/>
        </w:numPr>
        <w:shd w:val="clear" w:color="auto" w:fill="CCCCCC"/>
        <w:spacing w:before="100" w:beforeAutospacing="1" w:after="100" w:afterAutospacing="1" w:line="240" w:lineRule="auto"/>
        <w:ind w:hanging="540"/>
        <w:rPr>
          <w:rFonts w:cs="Arial"/>
          <w:sz w:val="24"/>
          <w:szCs w:val="24"/>
        </w:rPr>
      </w:pPr>
      <w:r w:rsidRPr="002B2FD4">
        <w:rPr>
          <w:rFonts w:cs="Arial"/>
          <w:sz w:val="24"/>
          <w:szCs w:val="24"/>
        </w:rPr>
        <w:t xml:space="preserve">decision-making in complex and unpredictable situations </w:t>
      </w:r>
    </w:p>
    <w:p w:rsidR="009B548D" w:rsidRPr="002B2FD4" w:rsidRDefault="009B548D" w:rsidP="009B548D">
      <w:pPr>
        <w:numPr>
          <w:ilvl w:val="1"/>
          <w:numId w:val="3"/>
        </w:numPr>
        <w:shd w:val="clear" w:color="auto" w:fill="CCCCCC"/>
        <w:spacing w:before="100" w:beforeAutospacing="1" w:after="100" w:afterAutospacing="1" w:line="240" w:lineRule="auto"/>
        <w:ind w:hanging="540"/>
        <w:rPr>
          <w:rFonts w:cs="Arial"/>
          <w:sz w:val="24"/>
          <w:szCs w:val="24"/>
        </w:rPr>
      </w:pPr>
      <w:r w:rsidRPr="002B2FD4">
        <w:rPr>
          <w:rFonts w:cs="Arial"/>
          <w:sz w:val="24"/>
          <w:szCs w:val="24"/>
        </w:rPr>
        <w:t xml:space="preserve">the independent learning ability required for continuing professional development. </w:t>
      </w:r>
    </w:p>
    <w:p w:rsidR="009B548D" w:rsidRPr="002B2FD4" w:rsidRDefault="009B548D" w:rsidP="009B548D">
      <w:pPr>
        <w:pStyle w:val="NormalWeb"/>
        <w:rPr>
          <w:rFonts w:ascii="Arial" w:hAnsi="Arial" w:cs="Arial"/>
        </w:rPr>
      </w:pPr>
      <w:r w:rsidRPr="002B2FD4">
        <w:rPr>
          <w:rFonts w:ascii="Arial" w:hAnsi="Arial" w:cs="Arial"/>
        </w:rPr>
        <w:t>39 Much of the</w:t>
      </w:r>
      <w:r>
        <w:rPr>
          <w:rFonts w:ascii="Arial" w:hAnsi="Arial" w:cs="Arial"/>
        </w:rPr>
        <w:t xml:space="preserve"> study undertaken for Master</w:t>
      </w:r>
      <w:r w:rsidRPr="002B2FD4">
        <w:rPr>
          <w:rFonts w:ascii="Arial" w:hAnsi="Arial" w:cs="Arial"/>
        </w:rPr>
        <w:t xml:space="preserve">s degrees will have been at, or informed by, the forefront of an academic or professional discipline. Students will have shown originality in the application of knowledge, and they will understand how the boundaries of knowledge are advanced through research. They will be able to deal with complex issues both systematically and creatively, and they will show originality in tackling and solving problems. They will have the qualities needed for employment in circumstances requiring sound judgement, personal responsibility and initiative in complex and unpredictable professional environments. </w:t>
      </w:r>
    </w:p>
    <w:p w:rsidR="009B548D" w:rsidRPr="002B2FD4" w:rsidRDefault="009B548D" w:rsidP="009B548D">
      <w:pPr>
        <w:pStyle w:val="NormalWeb"/>
        <w:rPr>
          <w:rFonts w:ascii="Arial" w:hAnsi="Arial" w:cs="Arial"/>
        </w:rPr>
      </w:pPr>
      <w:r>
        <w:rPr>
          <w:rFonts w:ascii="Arial" w:hAnsi="Arial" w:cs="Arial"/>
        </w:rPr>
        <w:t>40 Master</w:t>
      </w:r>
      <w:r w:rsidRPr="002B2FD4">
        <w:rPr>
          <w:rFonts w:ascii="Arial" w:hAnsi="Arial" w:cs="Arial"/>
        </w:rPr>
        <w:t>s degrees are awarded after completion of taught courses, programmes of research or a mixture of both. Longer, research-based programmes may lead to the degree of MPhil. The learning outcomes of most master's degree courses are achieved on the basis of study equivalent to at least one full-time calendar year and are tak</w:t>
      </w:r>
      <w:r>
        <w:rPr>
          <w:rFonts w:ascii="Arial" w:hAnsi="Arial" w:cs="Arial"/>
        </w:rPr>
        <w:t>en by graduates with a Bachelor</w:t>
      </w:r>
      <w:r w:rsidRPr="002B2FD4">
        <w:rPr>
          <w:rFonts w:ascii="Arial" w:hAnsi="Arial" w:cs="Arial"/>
        </w:rPr>
        <w:t xml:space="preserve">s degree with honours (or equivalent achievement). </w:t>
      </w:r>
    </w:p>
    <w:p w:rsidR="009B548D" w:rsidRPr="002B2FD4" w:rsidRDefault="009B548D" w:rsidP="009B548D">
      <w:pPr>
        <w:pStyle w:val="NormalWeb"/>
        <w:rPr>
          <w:rFonts w:ascii="Arial" w:hAnsi="Arial" w:cs="Arial"/>
        </w:rPr>
      </w:pPr>
      <w:r>
        <w:rPr>
          <w:rFonts w:ascii="Arial" w:hAnsi="Arial" w:cs="Arial"/>
        </w:rPr>
        <w:t>41 Master</w:t>
      </w:r>
      <w:r w:rsidRPr="002B2FD4">
        <w:rPr>
          <w:rFonts w:ascii="Arial" w:hAnsi="Arial" w:cs="Arial"/>
        </w:rPr>
        <w:t>s degrees are often distinguished from other qualifications at this level (for example, advanced short courses, which often form parts of continuing professional development programmes and lead to postgraduate certificates and/or postgraduate diplomas) by an increased intensity, complexi</w:t>
      </w:r>
      <w:r>
        <w:rPr>
          <w:rFonts w:ascii="Arial" w:hAnsi="Arial" w:cs="Arial"/>
        </w:rPr>
        <w:t>ty and density of study. Master</w:t>
      </w:r>
      <w:r w:rsidRPr="002B2FD4">
        <w:rPr>
          <w:rFonts w:ascii="Arial" w:hAnsi="Arial" w:cs="Arial"/>
        </w:rPr>
        <w:t xml:space="preserve">s degrees - in comparison to postgraduate certificates and postgraduate diplomas - typically include planned intellectual progression that often includes a synoptic/research or scholarly activity. </w:t>
      </w:r>
    </w:p>
    <w:p w:rsidR="009B548D" w:rsidRPr="002B2FD4" w:rsidRDefault="009B548D" w:rsidP="009B548D">
      <w:pPr>
        <w:pStyle w:val="NormalWeb"/>
        <w:rPr>
          <w:rFonts w:ascii="Arial" w:hAnsi="Arial" w:cs="Arial"/>
        </w:rPr>
      </w:pPr>
      <w:r>
        <w:rPr>
          <w:rFonts w:ascii="Arial" w:hAnsi="Arial" w:cs="Arial"/>
        </w:rPr>
        <w:t>42 Some Master</w:t>
      </w:r>
      <w:r w:rsidRPr="002B2FD4">
        <w:rPr>
          <w:rFonts w:ascii="Arial" w:hAnsi="Arial" w:cs="Arial"/>
        </w:rPr>
        <w:t xml:space="preserve">s degrees, for example in science, engineering and mathematics, comprise an integrated programme of study spanning several levels where the outcomes are normally achieved through study equivalent to four full-time academic years. While the final outcomes of the qualifications themselves meet the expectations of the descriptor for a higher education qualification at level 7 in full, such qualifications are often termed 'integrated master's' as an acknowledgement of the additional period of study at lower levels (which typically meets the expectations of the descriptor for a higher education qualification at level 6). </w:t>
      </w:r>
    </w:p>
    <w:p w:rsidR="009B548D" w:rsidRPr="002B2FD4" w:rsidRDefault="009B548D" w:rsidP="009B548D">
      <w:pPr>
        <w:pStyle w:val="NormalWeb"/>
        <w:rPr>
          <w:rFonts w:ascii="Arial" w:hAnsi="Arial" w:cs="Arial"/>
        </w:rPr>
      </w:pPr>
      <w:r w:rsidRPr="002B2FD4">
        <w:rPr>
          <w:rFonts w:ascii="Arial" w:hAnsi="Arial" w:cs="Arial"/>
        </w:rPr>
        <w:t xml:space="preserve">43 First degrees in medicine, dentistry and veterinary science comprise an integrated programme of study and professional practice spanning several levels. While the final outcomes of the qualifications themselves typically meet the expectations of the descriptor for a higher education qualification at level 7, these qualifications may often retain, for historical reasons, titles of Bachelor of Medicine, and Bachelor of Surgery, Bachelor of Dental Surgery, Bachelor of Veterinary Medicine or Bachelor of Veterinary Science, and are abbreviated to MBChB or BM BS, </w:t>
      </w:r>
      <w:smartTag w:uri="urn:schemas-microsoft-com:office:smarttags" w:element="stockticker">
        <w:r w:rsidRPr="002B2FD4">
          <w:rPr>
            <w:rFonts w:ascii="Arial" w:hAnsi="Arial" w:cs="Arial"/>
          </w:rPr>
          <w:t>BDS</w:t>
        </w:r>
      </w:smartTag>
      <w:r w:rsidRPr="002B2FD4">
        <w:rPr>
          <w:rFonts w:ascii="Arial" w:hAnsi="Arial" w:cs="Arial"/>
        </w:rPr>
        <w:t xml:space="preserve">, BVetMed and BVSc respectively. </w:t>
      </w:r>
    </w:p>
    <w:p w:rsidR="009B548D" w:rsidRPr="009B548D" w:rsidRDefault="009B548D" w:rsidP="009B548D">
      <w:pPr>
        <w:pStyle w:val="Heading4"/>
        <w:rPr>
          <w:rFonts w:ascii="Arial" w:hAnsi="Arial" w:cs="Arial"/>
          <w:color w:val="auto"/>
          <w:sz w:val="24"/>
          <w:szCs w:val="24"/>
        </w:rPr>
      </w:pPr>
      <w:r w:rsidRPr="009B548D">
        <w:rPr>
          <w:rFonts w:ascii="Arial" w:hAnsi="Arial" w:cs="Arial"/>
          <w:color w:val="auto"/>
          <w:sz w:val="24"/>
          <w:szCs w:val="24"/>
        </w:rPr>
        <w:t xml:space="preserve">Note </w:t>
      </w:r>
    </w:p>
    <w:p w:rsidR="009B548D" w:rsidRPr="002B2FD4" w:rsidRDefault="009B548D" w:rsidP="009B548D">
      <w:pPr>
        <w:pStyle w:val="NormalWeb"/>
        <w:rPr>
          <w:rFonts w:ascii="Arial" w:hAnsi="Arial" w:cs="Arial"/>
        </w:rPr>
      </w:pPr>
      <w:r w:rsidRPr="002B2FD4">
        <w:rPr>
          <w:rFonts w:ascii="Arial" w:hAnsi="Arial" w:cs="Arial"/>
        </w:rPr>
        <w:t xml:space="preserve">The Master of Arts (MA) granted by the University of Oxford and the University of Cambridge are not academic qualifications. The MA is normally granted, on application, to graduates of these universities with a Bachelor of Arts (BA). No further study or assessment is required, but the recipient may be required to pay a fee. </w:t>
      </w:r>
    </w:p>
    <w:p w:rsidR="009B548D" w:rsidRPr="002B2FD4" w:rsidRDefault="009B548D" w:rsidP="009B548D">
      <w:pPr>
        <w:pStyle w:val="NormalWeb"/>
        <w:rPr>
          <w:rFonts w:ascii="Arial" w:hAnsi="Arial" w:cs="Arial"/>
        </w:rPr>
      </w:pPr>
      <w:r w:rsidRPr="002B2FD4">
        <w:rPr>
          <w:rFonts w:ascii="Arial" w:hAnsi="Arial" w:cs="Arial"/>
        </w:rPr>
        <w:t xml:space="preserve">At the University of Oxford, the MA may be granted during or after the twenty-first term from matriculation and at the University of Cambridge, the MA may be granted six years after the end of the first term. </w:t>
      </w:r>
    </w:p>
    <w:p w:rsidR="009B548D" w:rsidRPr="002B2FD4" w:rsidRDefault="009B548D" w:rsidP="009B548D">
      <w:pPr>
        <w:rPr>
          <w:rFonts w:cs="Arial"/>
          <w:b/>
          <w:sz w:val="24"/>
          <w:szCs w:val="24"/>
        </w:rPr>
      </w:pPr>
    </w:p>
    <w:p w:rsidR="009B548D" w:rsidRPr="002B2FD4" w:rsidRDefault="009B548D" w:rsidP="009B548D">
      <w:pPr>
        <w:rPr>
          <w:rFonts w:cs="Arial"/>
          <w:b/>
          <w:sz w:val="24"/>
          <w:szCs w:val="24"/>
        </w:rPr>
      </w:pPr>
    </w:p>
    <w:p w:rsidR="009B548D" w:rsidRPr="002B2FD4" w:rsidRDefault="009B548D" w:rsidP="009B548D">
      <w:pPr>
        <w:rPr>
          <w:rFonts w:cs="Arial"/>
          <w:b/>
          <w:sz w:val="24"/>
          <w:szCs w:val="24"/>
        </w:rPr>
      </w:pPr>
    </w:p>
    <w:p w:rsidR="009B548D" w:rsidRPr="002B2FD4" w:rsidRDefault="009B548D" w:rsidP="009B548D">
      <w:pPr>
        <w:rPr>
          <w:rFonts w:cs="Arial"/>
          <w:b/>
          <w:sz w:val="24"/>
          <w:szCs w:val="24"/>
        </w:rPr>
      </w:pPr>
      <w:r w:rsidRPr="002B2FD4">
        <w:rPr>
          <w:rFonts w:cs="Arial"/>
          <w:b/>
          <w:sz w:val="24"/>
          <w:szCs w:val="24"/>
        </w:rPr>
        <w:br w:type="page"/>
        <w:t>Appendix B – Extract from the ‘Framework for Higher Education Qualifications in England, Wales and Northern Ireland’ – August 2008   “Descriptor for higher education qualification at level 8: Doctoral Degree”.</w:t>
      </w:r>
    </w:p>
    <w:p w:rsidR="009B548D" w:rsidRPr="002B2FD4" w:rsidRDefault="009B548D" w:rsidP="009B548D">
      <w:pPr>
        <w:rPr>
          <w:rFonts w:cs="Arial"/>
          <w:b/>
          <w:sz w:val="24"/>
          <w:szCs w:val="24"/>
        </w:rPr>
      </w:pPr>
    </w:p>
    <w:p w:rsidR="009B548D" w:rsidRPr="002B2FD4" w:rsidRDefault="009B548D" w:rsidP="009B548D">
      <w:pPr>
        <w:pStyle w:val="NormalWeb"/>
        <w:shd w:val="clear" w:color="auto" w:fill="CCCCCC"/>
        <w:rPr>
          <w:rFonts w:ascii="Arial" w:hAnsi="Arial" w:cs="Arial"/>
        </w:rPr>
      </w:pPr>
      <w:r w:rsidRPr="002B2FD4">
        <w:rPr>
          <w:rFonts w:ascii="Arial" w:hAnsi="Arial" w:cs="Arial"/>
        </w:rPr>
        <w:t xml:space="preserve">The descriptor provided for this level of the FHEQ is for any doctoral degree which should meet the descriptor in full. This qualification descriptor can also be used as a reference point for other level 8 qualifications. </w:t>
      </w:r>
    </w:p>
    <w:p w:rsidR="009B548D" w:rsidRPr="009B548D" w:rsidRDefault="009B548D" w:rsidP="009B548D">
      <w:pPr>
        <w:pStyle w:val="Heading4"/>
        <w:shd w:val="clear" w:color="auto" w:fill="CCCCCC"/>
        <w:rPr>
          <w:rFonts w:ascii="Arial" w:hAnsi="Arial" w:cs="Arial"/>
          <w:color w:val="auto"/>
          <w:sz w:val="24"/>
          <w:szCs w:val="24"/>
        </w:rPr>
      </w:pPr>
      <w:r w:rsidRPr="009B548D">
        <w:rPr>
          <w:rFonts w:ascii="Arial" w:hAnsi="Arial" w:cs="Arial"/>
          <w:color w:val="auto"/>
          <w:sz w:val="24"/>
          <w:szCs w:val="24"/>
        </w:rPr>
        <w:t xml:space="preserve">Doctoral degrees are awarded to students who have demonstrated: </w:t>
      </w:r>
    </w:p>
    <w:p w:rsidR="009B548D" w:rsidRPr="002B2FD4" w:rsidRDefault="009B548D" w:rsidP="009B548D">
      <w:pPr>
        <w:shd w:val="clear" w:color="auto" w:fill="CCCCCC"/>
        <w:spacing w:before="100" w:beforeAutospacing="1" w:after="100" w:afterAutospacing="1"/>
        <w:rPr>
          <w:rFonts w:cs="Arial"/>
          <w:sz w:val="24"/>
          <w:szCs w:val="24"/>
        </w:rPr>
      </w:pPr>
      <w:r w:rsidRPr="002B2FD4">
        <w:rPr>
          <w:rFonts w:cs="Arial"/>
          <w:sz w:val="24"/>
          <w:szCs w:val="24"/>
        </w:rPr>
        <w:t xml:space="preserve">the creation and interpretation of new knowledge, through original research or other advanced scholarship, of a quality to satisfy peer review, extend the forefront of the discipline, and merit publication </w:t>
      </w:r>
    </w:p>
    <w:p w:rsidR="009B548D" w:rsidRPr="002B2FD4" w:rsidRDefault="009B548D" w:rsidP="009B548D">
      <w:pPr>
        <w:shd w:val="clear" w:color="auto" w:fill="CCCCCC"/>
        <w:spacing w:before="100" w:beforeAutospacing="1" w:after="100" w:afterAutospacing="1"/>
        <w:rPr>
          <w:rFonts w:cs="Arial"/>
          <w:sz w:val="24"/>
          <w:szCs w:val="24"/>
        </w:rPr>
      </w:pPr>
      <w:r w:rsidRPr="002B2FD4">
        <w:rPr>
          <w:rFonts w:cs="Arial"/>
          <w:sz w:val="24"/>
          <w:szCs w:val="24"/>
        </w:rPr>
        <w:t xml:space="preserve">a systematic acquisition and understanding of a substantial body of knowledge which is at the forefront of an academic discipline or area of professional practice </w:t>
      </w:r>
    </w:p>
    <w:p w:rsidR="009B548D" w:rsidRPr="002B2FD4" w:rsidRDefault="009B548D" w:rsidP="009B548D">
      <w:pPr>
        <w:shd w:val="clear" w:color="auto" w:fill="CCCCCC"/>
        <w:spacing w:before="100" w:beforeAutospacing="1" w:after="100" w:afterAutospacing="1"/>
        <w:rPr>
          <w:rFonts w:cs="Arial"/>
          <w:sz w:val="24"/>
          <w:szCs w:val="24"/>
        </w:rPr>
      </w:pPr>
      <w:r w:rsidRPr="002B2FD4">
        <w:rPr>
          <w:rFonts w:cs="Arial"/>
          <w:sz w:val="24"/>
          <w:szCs w:val="24"/>
        </w:rPr>
        <w:t xml:space="preserve">the general ability to conceptualise, design and implement a project for the generation of new knowledge, applications or understanding at the forefront of the discipline, and to adjust the project design in the light of unforeseen problems </w:t>
      </w:r>
    </w:p>
    <w:p w:rsidR="009B548D" w:rsidRPr="009B548D" w:rsidRDefault="009B548D" w:rsidP="009B548D">
      <w:pPr>
        <w:shd w:val="clear" w:color="auto" w:fill="CCCCCC"/>
        <w:spacing w:before="100" w:beforeAutospacing="1" w:after="100" w:afterAutospacing="1"/>
        <w:rPr>
          <w:rFonts w:cs="Arial"/>
          <w:color w:val="auto"/>
          <w:sz w:val="24"/>
          <w:szCs w:val="24"/>
        </w:rPr>
      </w:pPr>
      <w:r w:rsidRPr="002B2FD4">
        <w:rPr>
          <w:rFonts w:cs="Arial"/>
          <w:sz w:val="24"/>
          <w:szCs w:val="24"/>
        </w:rPr>
        <w:t xml:space="preserve">a detailed understanding of applicable techniques for research and advanced </w:t>
      </w:r>
      <w:r w:rsidRPr="009B548D">
        <w:rPr>
          <w:rFonts w:cs="Arial"/>
          <w:color w:val="auto"/>
          <w:sz w:val="24"/>
          <w:szCs w:val="24"/>
        </w:rPr>
        <w:t xml:space="preserve">academic enquiry. </w:t>
      </w:r>
    </w:p>
    <w:p w:rsidR="009B548D" w:rsidRPr="009B548D" w:rsidRDefault="009B548D" w:rsidP="009B548D">
      <w:pPr>
        <w:pStyle w:val="Heading4"/>
        <w:shd w:val="clear" w:color="auto" w:fill="CCCCCC"/>
        <w:rPr>
          <w:rFonts w:ascii="Arial" w:hAnsi="Arial" w:cs="Arial"/>
          <w:color w:val="auto"/>
          <w:sz w:val="24"/>
          <w:szCs w:val="24"/>
        </w:rPr>
      </w:pPr>
      <w:r w:rsidRPr="009B548D">
        <w:rPr>
          <w:rFonts w:ascii="Arial" w:hAnsi="Arial" w:cs="Arial"/>
          <w:color w:val="auto"/>
          <w:sz w:val="24"/>
          <w:szCs w:val="24"/>
        </w:rPr>
        <w:t xml:space="preserve">Typically, holders of the qualification will be able to: </w:t>
      </w:r>
    </w:p>
    <w:p w:rsidR="009B548D" w:rsidRPr="009B548D" w:rsidRDefault="009B548D" w:rsidP="009B548D">
      <w:pPr>
        <w:shd w:val="clear" w:color="auto" w:fill="CCCCCC"/>
        <w:spacing w:before="100" w:beforeAutospacing="1" w:after="100" w:afterAutospacing="1"/>
        <w:rPr>
          <w:rFonts w:cs="Arial"/>
          <w:color w:val="auto"/>
          <w:sz w:val="24"/>
          <w:szCs w:val="24"/>
        </w:rPr>
      </w:pPr>
      <w:r w:rsidRPr="009B548D">
        <w:rPr>
          <w:rFonts w:cs="Arial"/>
          <w:color w:val="auto"/>
          <w:sz w:val="24"/>
          <w:szCs w:val="24"/>
        </w:rPr>
        <w:t xml:space="preserve">make informed judgements on complex issues in specialist fields, often in the absence of complete data, and be able to communicate their ideas and conclusions clearly and effectively to specialist and non-specialist audiences </w:t>
      </w:r>
    </w:p>
    <w:p w:rsidR="009B548D" w:rsidRPr="009B548D" w:rsidRDefault="009B548D" w:rsidP="009B548D">
      <w:pPr>
        <w:shd w:val="clear" w:color="auto" w:fill="CCCCCC"/>
        <w:spacing w:before="100" w:beforeAutospacing="1" w:after="100" w:afterAutospacing="1"/>
        <w:rPr>
          <w:rFonts w:cs="Arial"/>
          <w:color w:val="auto"/>
          <w:sz w:val="24"/>
          <w:szCs w:val="24"/>
        </w:rPr>
      </w:pPr>
      <w:r w:rsidRPr="009B548D">
        <w:rPr>
          <w:rFonts w:cs="Arial"/>
          <w:color w:val="auto"/>
          <w:sz w:val="24"/>
          <w:szCs w:val="24"/>
        </w:rPr>
        <w:t xml:space="preserve">continue to undertake pure and/or applied research and development at an advanced level, contributing substantially to the development of new techniques, ideas or approaches. </w:t>
      </w:r>
    </w:p>
    <w:p w:rsidR="009B548D" w:rsidRPr="009B548D" w:rsidRDefault="009B548D" w:rsidP="009B548D">
      <w:pPr>
        <w:pStyle w:val="Heading4"/>
        <w:shd w:val="clear" w:color="auto" w:fill="CCCCCC"/>
        <w:rPr>
          <w:rFonts w:ascii="Arial" w:hAnsi="Arial" w:cs="Arial"/>
          <w:color w:val="auto"/>
          <w:sz w:val="24"/>
          <w:szCs w:val="24"/>
        </w:rPr>
      </w:pPr>
      <w:r w:rsidRPr="009B548D">
        <w:rPr>
          <w:rFonts w:ascii="Arial" w:hAnsi="Arial" w:cs="Arial"/>
          <w:color w:val="auto"/>
          <w:sz w:val="24"/>
          <w:szCs w:val="24"/>
        </w:rPr>
        <w:t xml:space="preserve">And holders will have: </w:t>
      </w:r>
    </w:p>
    <w:p w:rsidR="009B548D" w:rsidRPr="002B2FD4" w:rsidRDefault="009B548D" w:rsidP="009B548D">
      <w:pPr>
        <w:shd w:val="clear" w:color="auto" w:fill="CCCCCC"/>
        <w:spacing w:before="100" w:beforeAutospacing="1" w:after="100" w:afterAutospacing="1"/>
        <w:rPr>
          <w:rFonts w:cs="Arial"/>
          <w:sz w:val="24"/>
          <w:szCs w:val="24"/>
        </w:rPr>
      </w:pPr>
      <w:r w:rsidRPr="002B2FD4">
        <w:rPr>
          <w:rFonts w:cs="Arial"/>
          <w:sz w:val="24"/>
          <w:szCs w:val="24"/>
        </w:rPr>
        <w:t xml:space="preserve">the qualities and transferable skills necessary for employment requiring the exercise of personal responsibility and largely autonomous initiative in complex and unpredictable situations, in professional or equivalent environments. </w:t>
      </w:r>
    </w:p>
    <w:p w:rsidR="009B548D" w:rsidRPr="002B2FD4" w:rsidRDefault="009B548D" w:rsidP="009B548D">
      <w:pPr>
        <w:pStyle w:val="NormalWeb"/>
        <w:rPr>
          <w:rFonts w:ascii="Arial" w:hAnsi="Arial" w:cs="Arial"/>
        </w:rPr>
      </w:pPr>
      <w:r w:rsidRPr="002B2FD4">
        <w:rPr>
          <w:rFonts w:ascii="Arial" w:hAnsi="Arial" w:cs="Arial"/>
        </w:rPr>
        <w:t xml:space="preserve">44 Doctoral degrees are awarded for the creation and interpretation, construction and/or exposition of knowledge which extends the forefront of a discipline, usually through original research. </w:t>
      </w:r>
    </w:p>
    <w:p w:rsidR="009B548D" w:rsidRPr="002B2FD4" w:rsidRDefault="009B548D" w:rsidP="009B548D">
      <w:pPr>
        <w:pStyle w:val="NormalWeb"/>
        <w:rPr>
          <w:rFonts w:ascii="Arial" w:hAnsi="Arial" w:cs="Arial"/>
        </w:rPr>
      </w:pPr>
      <w:r w:rsidRPr="002B2FD4">
        <w:rPr>
          <w:rFonts w:ascii="Arial" w:hAnsi="Arial" w:cs="Arial"/>
        </w:rPr>
        <w:t xml:space="preserve">45 Holders of doctoral degrees will be able to conceptualise, design and implement projects for the generation of significant new knowledge and/or understanding. Holders of doctoral degrees will have the qualities needed for employment that require both the ability to make informed judgements on complex issues in specialist fields and an innovative approach to tackling and solving problems. </w:t>
      </w:r>
    </w:p>
    <w:p w:rsidR="009B548D" w:rsidRPr="002B2FD4" w:rsidRDefault="009B548D" w:rsidP="009B548D">
      <w:pPr>
        <w:pStyle w:val="NormalWeb"/>
        <w:rPr>
          <w:rFonts w:ascii="Arial" w:hAnsi="Arial" w:cs="Arial"/>
        </w:rPr>
      </w:pPr>
      <w:r w:rsidRPr="002B2FD4">
        <w:rPr>
          <w:rFonts w:ascii="Arial" w:hAnsi="Arial" w:cs="Arial"/>
        </w:rPr>
        <w:t xml:space="preserve">46 Doctoral programmes that may include a research component but which have a substantial taught element (for example, professional doctorates), lead usually to awards which include the name of the discipline in their title (for example, EdD for Doctor of Education or DClinPsy for Doctor of Clinical Psychology). Professional doctorates aim to develop an individual's professional practice and to support them in producing a contribution to (professional) knowledge. </w:t>
      </w:r>
    </w:p>
    <w:p w:rsidR="009B548D" w:rsidRPr="002B2FD4" w:rsidRDefault="009B548D" w:rsidP="009B548D">
      <w:pPr>
        <w:pStyle w:val="NormalWeb"/>
        <w:rPr>
          <w:rFonts w:ascii="Arial" w:hAnsi="Arial" w:cs="Arial"/>
        </w:rPr>
      </w:pPr>
      <w:r w:rsidRPr="002B2FD4">
        <w:rPr>
          <w:rFonts w:ascii="Arial" w:hAnsi="Arial" w:cs="Arial"/>
        </w:rPr>
        <w:t xml:space="preserve">47 The titles PhD and DPhil are commonly used for doctoral degrees awarded on the basis of original research. </w:t>
      </w:r>
    </w:p>
    <w:p w:rsidR="009B548D" w:rsidRPr="002B2FD4" w:rsidRDefault="009B548D" w:rsidP="009B548D">
      <w:pPr>
        <w:pStyle w:val="NormalWeb"/>
        <w:rPr>
          <w:rFonts w:ascii="Arial" w:hAnsi="Arial" w:cs="Arial"/>
        </w:rPr>
      </w:pPr>
      <w:r w:rsidRPr="002B2FD4">
        <w:rPr>
          <w:rFonts w:ascii="Arial" w:hAnsi="Arial" w:cs="Arial"/>
        </w:rPr>
        <w:t xml:space="preserve">48 Achievement of outcomes consistent with the qualification descriptor for the doctoral degree normally requires study equivalent to three full-time calendar years. </w:t>
      </w:r>
    </w:p>
    <w:p w:rsidR="009B548D" w:rsidRPr="002B2FD4" w:rsidRDefault="009B548D" w:rsidP="009B548D">
      <w:pPr>
        <w:pStyle w:val="NormalWeb"/>
        <w:rPr>
          <w:rFonts w:ascii="Arial" w:hAnsi="Arial" w:cs="Arial"/>
        </w:rPr>
      </w:pPr>
      <w:r w:rsidRPr="002B2FD4">
        <w:rPr>
          <w:rFonts w:ascii="Arial" w:hAnsi="Arial" w:cs="Arial"/>
        </w:rPr>
        <w:t xml:space="preserve">49 Higher doctorates may be awarded in recognition of a substantial body of original research undertaken over the course of many years. Typically a portfolio of work which has been previously published in a peer-refereed context is submitted for assessment. Most higher education awarding bodies restrict candidacy to graduates or academic staff of several years' standing. </w:t>
      </w:r>
    </w:p>
    <w:p w:rsidR="009B548D" w:rsidRDefault="009B548D" w:rsidP="009B548D"/>
    <w:p w:rsidR="009B548D" w:rsidRDefault="009B548D" w:rsidP="009B548D"/>
    <w:p w:rsidR="009B548D" w:rsidRPr="00573B6A" w:rsidRDefault="009B548D" w:rsidP="009B548D"/>
    <w:p w:rsidR="009B548D" w:rsidRDefault="009B548D" w:rsidP="009B548D">
      <w:pPr>
        <w:rPr>
          <w:rFonts w:eastAsia="Times New Roman"/>
          <w:lang w:eastAsia="en-GB"/>
        </w:rPr>
      </w:pPr>
    </w:p>
    <w:p w:rsidR="009B548D" w:rsidRPr="00A7395B" w:rsidRDefault="009B548D" w:rsidP="00426361">
      <w:pPr>
        <w:rPr>
          <w:rFonts w:cs="Arial"/>
          <w:color w:val="FFFFFF" w:themeColor="background1"/>
          <w:sz w:val="40"/>
          <w:szCs w:val="40"/>
        </w:rPr>
        <w:sectPr w:rsidR="009B548D" w:rsidRPr="00A7395B" w:rsidSect="00B54EB2">
          <w:headerReference w:type="even" r:id="rId8"/>
          <w:footerReference w:type="default" r:id="rId9"/>
          <w:headerReference w:type="first" r:id="rId10"/>
          <w:footerReference w:type="first" r:id="rId11"/>
          <w:pgSz w:w="11906" w:h="16838"/>
          <w:pgMar w:top="1440" w:right="1440" w:bottom="2127" w:left="1440" w:header="708" w:footer="1837" w:gutter="0"/>
          <w:cols w:space="708"/>
          <w:titlePg/>
          <w:docGrid w:linePitch="360"/>
        </w:sectPr>
      </w:pPr>
    </w:p>
    <w:p w:rsidR="00B54EB2" w:rsidRDefault="00B54EB2" w:rsidP="005F341D">
      <w:pPr>
        <w:rPr>
          <w:rFonts w:eastAsia="Times New Roman"/>
          <w:lang w:eastAsia="en-GB"/>
        </w:rPr>
      </w:pPr>
    </w:p>
    <w:sectPr w:rsidR="00B54EB2" w:rsidSect="00B54EB2">
      <w:headerReference w:type="first" r:id="rId12"/>
      <w:type w:val="continuous"/>
      <w:pgSz w:w="11906" w:h="16838"/>
      <w:pgMar w:top="1440" w:right="1440" w:bottom="2127" w:left="1440" w:header="709" w:footer="18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37" w:rsidRDefault="008D3B37" w:rsidP="001B66F1">
      <w:pPr>
        <w:spacing w:after="0" w:line="240" w:lineRule="auto"/>
      </w:pPr>
      <w:r>
        <w:separator/>
      </w:r>
    </w:p>
  </w:endnote>
  <w:endnote w:type="continuationSeparator" w:id="0">
    <w:p w:rsidR="008D3B37" w:rsidRDefault="008D3B37" w:rsidP="001B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F8" w:rsidRDefault="00E65A2F">
    <w:pPr>
      <w:pStyle w:val="Footer"/>
    </w:pPr>
    <w:r>
      <w:rPr>
        <w:noProof/>
        <w:lang w:eastAsia="en-GB"/>
      </w:rPr>
      <mc:AlternateContent>
        <mc:Choice Requires="wps">
          <w:drawing>
            <wp:anchor distT="0" distB="0" distL="114300" distR="114300" simplePos="0" relativeHeight="251664384" behindDoc="0" locked="0" layoutInCell="1" allowOverlap="1" wp14:anchorId="61B85221" wp14:editId="7733A4F6">
              <wp:simplePos x="0" y="0"/>
              <wp:positionH relativeFrom="column">
                <wp:posOffset>5862955</wp:posOffset>
              </wp:positionH>
              <wp:positionV relativeFrom="paragraph">
                <wp:posOffset>847725</wp:posOffset>
              </wp:positionV>
              <wp:extent cx="304800" cy="303530"/>
              <wp:effectExtent l="0" t="0" r="4445"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F819F8" w:rsidRPr="00F819F8" w:rsidRDefault="00E7359F" w:rsidP="00F819F8">
                          <w:pPr>
                            <w:rPr>
                              <w:color w:val="808080" w:themeColor="background1" w:themeShade="80"/>
                            </w:rPr>
                          </w:pPr>
                          <w:r w:rsidRPr="00F819F8">
                            <w:rPr>
                              <w:color w:val="808080" w:themeColor="background1" w:themeShade="80"/>
                            </w:rPr>
                            <w:fldChar w:fldCharType="begin"/>
                          </w:r>
                          <w:r w:rsidR="00F819F8" w:rsidRPr="00F819F8">
                            <w:rPr>
                              <w:color w:val="808080" w:themeColor="background1" w:themeShade="80"/>
                            </w:rPr>
                            <w:instrText xml:space="preserve"> PAGE   \* MERGEFORMAT </w:instrText>
                          </w:r>
                          <w:r w:rsidRPr="00F819F8">
                            <w:rPr>
                              <w:color w:val="808080" w:themeColor="background1" w:themeShade="80"/>
                            </w:rPr>
                            <w:fldChar w:fldCharType="separate"/>
                          </w:r>
                          <w:r w:rsidR="00D0245F">
                            <w:rPr>
                              <w:noProof/>
                              <w:color w:val="808080" w:themeColor="background1" w:themeShade="80"/>
                            </w:rPr>
                            <w:t>11</w:t>
                          </w:r>
                          <w:r w:rsidRPr="00F819F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85221" id="_x0000_t202" coordsize="21600,21600" o:spt="202" path="m,l,21600r21600,l21600,xe">
              <v:stroke joinstyle="miter"/>
              <v:path gradientshapeok="t" o:connecttype="rect"/>
            </v:shapetype>
            <v:shape id="Text Box 9" o:spid="_x0000_s1026" type="#_x0000_t202" style="position:absolute;margin-left:461.65pt;margin-top:66.75pt;width:24pt;height: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" filled="f" stroked="f">
              <v:textbox>
                <w:txbxContent>
                  <w:p w:rsidR="00F819F8" w:rsidRPr="00F819F8" w:rsidRDefault="00E7359F" w:rsidP="00F819F8">
                    <w:pPr>
                      <w:rPr>
                        <w:color w:val="808080" w:themeColor="background1" w:themeShade="80"/>
                      </w:rPr>
                    </w:pPr>
                    <w:r w:rsidRPr="00F819F8">
                      <w:rPr>
                        <w:color w:val="808080" w:themeColor="background1" w:themeShade="80"/>
                      </w:rPr>
                      <w:fldChar w:fldCharType="begin"/>
                    </w:r>
                    <w:r w:rsidR="00F819F8" w:rsidRPr="00F819F8">
                      <w:rPr>
                        <w:color w:val="808080" w:themeColor="background1" w:themeShade="80"/>
                      </w:rPr>
                      <w:instrText xml:space="preserve"> PAGE   \* MERGEFORMAT </w:instrText>
                    </w:r>
                    <w:r w:rsidRPr="00F819F8">
                      <w:rPr>
                        <w:color w:val="808080" w:themeColor="background1" w:themeShade="80"/>
                      </w:rPr>
                      <w:fldChar w:fldCharType="separate"/>
                    </w:r>
                    <w:r w:rsidR="00D0245F">
                      <w:rPr>
                        <w:noProof/>
                        <w:color w:val="808080" w:themeColor="background1" w:themeShade="80"/>
                      </w:rPr>
                      <w:t>11</w:t>
                    </w:r>
                    <w:r w:rsidRPr="00F819F8">
                      <w:rPr>
                        <w:color w:val="808080" w:themeColor="background1" w:themeShade="8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60" w:rsidRDefault="00E65A2F">
    <w:pPr>
      <w:pStyle w:val="Footer"/>
    </w:pPr>
    <w:r>
      <w:rPr>
        <w:noProof/>
        <w:lang w:eastAsia="en-GB"/>
      </w:rPr>
      <mc:AlternateContent>
        <mc:Choice Requires="wps">
          <w:drawing>
            <wp:anchor distT="0" distB="0" distL="114300" distR="114300" simplePos="0" relativeHeight="251669504" behindDoc="0" locked="0" layoutInCell="1" allowOverlap="1" wp14:anchorId="7223DD76" wp14:editId="64F3E530">
              <wp:simplePos x="0" y="0"/>
              <wp:positionH relativeFrom="column">
                <wp:posOffset>5760085</wp:posOffset>
              </wp:positionH>
              <wp:positionV relativeFrom="paragraph">
                <wp:posOffset>1524635</wp:posOffset>
              </wp:positionV>
              <wp:extent cx="304800" cy="303530"/>
              <wp:effectExtent l="0" t="635" r="2540" b="63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7A3860" w:rsidRPr="00F819F8" w:rsidRDefault="007A3860" w:rsidP="00F819F8">
                          <w:pPr>
                            <w:rPr>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3DD76" id="_x0000_t202" coordsize="21600,21600" o:spt="202" path="m,l,21600r21600,l21600,xe">
              <v:stroke joinstyle="miter"/>
              <v:path gradientshapeok="t" o:connecttype="rect"/>
            </v:shapetype>
            <v:shape id="Text Box 17" o:spid="_x0000_s1027" type="#_x0000_t202" style="position:absolute;margin-left:453.55pt;margin-top:120.05pt;width:24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" filled="f" stroked="f">
              <v:textbox>
                <w:txbxContent>
                  <w:p w:rsidR="007A3860" w:rsidRPr="00F819F8" w:rsidRDefault="007A3860" w:rsidP="00F819F8">
                    <w:pPr>
                      <w:rPr>
                        <w:color w:val="808080" w:themeColor="background1" w:themeShade="8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37" w:rsidRDefault="008D3B37" w:rsidP="001B66F1">
      <w:pPr>
        <w:spacing w:after="0" w:line="240" w:lineRule="auto"/>
      </w:pPr>
      <w:r>
        <w:separator/>
      </w:r>
    </w:p>
  </w:footnote>
  <w:footnote w:type="continuationSeparator" w:id="0">
    <w:p w:rsidR="008D3B37" w:rsidRDefault="008D3B37" w:rsidP="001B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F1" w:rsidRDefault="008D3B37">
    <w:pPr>
      <w:pStyle w:val="Header"/>
    </w:pPr>
    <w:r>
      <w:rPr>
        <w:noProof/>
        <w:lang w:eastAsia="en-GB"/>
      </w:rPr>
      <w:pict w14:anchorId="128AE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506" o:spid="_x0000_s2050" type="#_x0000_t75" alt="10020_MSO_Stationery_LBU_Temps_Word2" style="position:absolute;margin-left:0;margin-top:0;width:595.75pt;height:842pt;z-index:-251655168;mso-wrap-edited:f;mso-width-percent:0;mso-height-percent:0;mso-position-horizontal:center;mso-position-horizontal-relative:margin;mso-position-vertical:center;mso-position-vertical-relative:margin;mso-width-percent:0;mso-height-percent:0" o:allowincell="f">
          <v:imagedata r:id="rId1" o:title="10020_MSO_Stationery_LBU_Temps_Word2" gain="19661f" blacklevel="22938f"/>
          <w10:wrap anchorx="margin" anchory="margin"/>
        </v:shape>
      </w:pict>
    </w:r>
    <w:r>
      <w:rPr>
        <w:noProof/>
        <w:lang w:eastAsia="en-GB"/>
      </w:rPr>
      <w:pict w14:anchorId="74C5C235">
        <v:shape id="WordPictureWatermark2052334" o:spid="_x0000_s2049" type="#_x0000_t75" alt="10020_MSO_Stationery_LBU_Temps_Word" style="position:absolute;margin-left:0;margin-top:0;width:595.75pt;height:842pt;z-index:-251657216;mso-wrap-edited:f;mso-width-percent:0;mso-height-percent:0;mso-position-horizontal:center;mso-position-horizontal-relative:margin;mso-position-vertical:center;mso-position-vertical-relative:margin;mso-width-percent:0;mso-height-percent:0" o:allowincell="f">
          <v:imagedata r:id="rId2" o:title="10020_MSO_Stationery_LBU_Temps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5B" w:rsidRDefault="00A7395B">
    <w:pPr>
      <w:pStyle w:val="Header"/>
      <w:rPr>
        <w:noProof/>
        <w:lang w:eastAsia="en-GB"/>
      </w:rPr>
    </w:pPr>
  </w:p>
  <w:p w:rsidR="006E027E" w:rsidRDefault="00714732">
    <w:pPr>
      <w:pStyle w:val="Header"/>
    </w:pPr>
    <w:r>
      <w:rPr>
        <w:noProof/>
        <w:lang w:eastAsia="en-GB"/>
      </w:rPr>
      <w:drawing>
        <wp:anchor distT="0" distB="0" distL="114300" distR="114300" simplePos="0" relativeHeight="251672576" behindDoc="1" locked="0" layoutInCell="1" allowOverlap="1" wp14:anchorId="73AE423D" wp14:editId="6FBA74BA">
          <wp:simplePos x="0" y="0"/>
          <wp:positionH relativeFrom="column">
            <wp:posOffset>-922564</wp:posOffset>
          </wp:positionH>
          <wp:positionV relativeFrom="paragraph">
            <wp:posOffset>-437368</wp:posOffset>
          </wp:positionV>
          <wp:extent cx="7559377" cy="1068476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beckett for marc3.jpg"/>
                  <pic:cNvPicPr/>
                </pic:nvPicPr>
                <pic:blipFill>
                  <a:blip r:embed="rId1"/>
                  <a:stretch>
                    <a:fillRect/>
                  </a:stretch>
                </pic:blipFill>
                <pic:spPr>
                  <a:xfrm>
                    <a:off x="0" y="0"/>
                    <a:ext cx="7559377" cy="10684766"/>
                  </a:xfrm>
                  <a:prstGeom prst="rect">
                    <a:avLst/>
                  </a:prstGeom>
                </pic:spPr>
              </pic:pic>
            </a:graphicData>
          </a:graphic>
          <wp14:sizeRelH relativeFrom="margin">
            <wp14:pctWidth>0</wp14:pctWidth>
          </wp14:sizeRelH>
          <wp14:sizeRelV relativeFrom="margin">
            <wp14:pctHeight>0</wp14:pctHeight>
          </wp14:sizeRelV>
        </wp:anchor>
      </w:drawing>
    </w:r>
    <w:r w:rsidR="005F0EB7">
      <w:rPr>
        <w:noProof/>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60" w:rsidRDefault="00E65A2F">
    <w:pPr>
      <w:pStyle w:val="Header"/>
    </w:pPr>
    <w:r>
      <w:rPr>
        <w:noProof/>
        <w:lang w:eastAsia="en-GB"/>
      </w:rPr>
      <w:drawing>
        <wp:anchor distT="0" distB="0" distL="114300" distR="114300" simplePos="0" relativeHeight="251670528" behindDoc="1" locked="0" layoutInCell="0" allowOverlap="1" wp14:anchorId="7BAC3CDF" wp14:editId="19A8406F">
          <wp:simplePos x="0" y="0"/>
          <wp:positionH relativeFrom="margin">
            <wp:posOffset>-765175</wp:posOffset>
          </wp:positionH>
          <wp:positionV relativeFrom="margin">
            <wp:posOffset>-621030</wp:posOffset>
          </wp:positionV>
          <wp:extent cx="7566025" cy="10693400"/>
          <wp:effectExtent l="0" t="0" r="0" b="0"/>
          <wp:wrapNone/>
          <wp:docPr id="18" name="Picture 18" descr="10020_MSO_Stationery_LBU_Temps_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020_MSO_Stationery_LBU_Temps_Word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6025" cy="1069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14:anchorId="66BC9AE5" wp14:editId="6C8F2259">
              <wp:simplePos x="0" y="0"/>
              <wp:positionH relativeFrom="column">
                <wp:posOffset>5895975</wp:posOffset>
              </wp:positionH>
              <wp:positionV relativeFrom="paragraph">
                <wp:posOffset>9789160</wp:posOffset>
              </wp:positionV>
              <wp:extent cx="304800" cy="303530"/>
              <wp:effectExtent l="0" t="0" r="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7A3860" w:rsidRPr="00F819F8" w:rsidRDefault="00E7359F" w:rsidP="007A3860">
                          <w:pPr>
                            <w:rPr>
                              <w:color w:val="808080" w:themeColor="background1" w:themeShade="80"/>
                            </w:rPr>
                          </w:pPr>
                          <w:r w:rsidRPr="00F819F8">
                            <w:rPr>
                              <w:color w:val="808080" w:themeColor="background1" w:themeShade="80"/>
                            </w:rPr>
                            <w:fldChar w:fldCharType="begin"/>
                          </w:r>
                          <w:r w:rsidR="007A3860" w:rsidRPr="00F819F8">
                            <w:rPr>
                              <w:color w:val="808080" w:themeColor="background1" w:themeShade="80"/>
                            </w:rPr>
                            <w:instrText xml:space="preserve"> PAGE   \* MERGEFORMAT </w:instrText>
                          </w:r>
                          <w:r w:rsidRPr="00F819F8">
                            <w:rPr>
                              <w:color w:val="808080" w:themeColor="background1" w:themeShade="80"/>
                            </w:rPr>
                            <w:fldChar w:fldCharType="separate"/>
                          </w:r>
                          <w:r w:rsidR="009B548D">
                            <w:rPr>
                              <w:noProof/>
                              <w:color w:val="808080" w:themeColor="background1" w:themeShade="80"/>
                            </w:rPr>
                            <w:t>2</w:t>
                          </w:r>
                          <w:r w:rsidRPr="00F819F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C9AE5" id="_x0000_t202" coordsize="21600,21600" o:spt="202" path="m,l,21600r21600,l21600,xe">
              <v:stroke joinstyle="miter"/>
              <v:path gradientshapeok="t" o:connecttype="rect"/>
            </v:shapetype>
            <v:shape id="Text Box 19" o:spid="_x0000_s1028" type="#_x0000_t202" style="position:absolute;margin-left:464.25pt;margin-top:770.8pt;width:24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" filled="f" stroked="f">
              <v:textbox>
                <w:txbxContent>
                  <w:p w:rsidR="007A3860" w:rsidRPr="00F819F8" w:rsidRDefault="00E7359F" w:rsidP="007A3860">
                    <w:pPr>
                      <w:rPr>
                        <w:color w:val="808080" w:themeColor="background1" w:themeShade="80"/>
                      </w:rPr>
                    </w:pPr>
                    <w:r w:rsidRPr="00F819F8">
                      <w:rPr>
                        <w:color w:val="808080" w:themeColor="background1" w:themeShade="80"/>
                      </w:rPr>
                      <w:fldChar w:fldCharType="begin"/>
                    </w:r>
                    <w:r w:rsidR="007A3860" w:rsidRPr="00F819F8">
                      <w:rPr>
                        <w:color w:val="808080" w:themeColor="background1" w:themeShade="80"/>
                      </w:rPr>
                      <w:instrText xml:space="preserve"> PAGE   \* MERGEFORMAT </w:instrText>
                    </w:r>
                    <w:r w:rsidRPr="00F819F8">
                      <w:rPr>
                        <w:color w:val="808080" w:themeColor="background1" w:themeShade="80"/>
                      </w:rPr>
                      <w:fldChar w:fldCharType="separate"/>
                    </w:r>
                    <w:r w:rsidR="009B548D">
                      <w:rPr>
                        <w:noProof/>
                        <w:color w:val="808080" w:themeColor="background1" w:themeShade="80"/>
                      </w:rPr>
                      <w:t>2</w:t>
                    </w:r>
                    <w:r w:rsidRPr="00F819F8">
                      <w:rPr>
                        <w:color w:val="808080" w:themeColor="background1" w:themeShade="8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BE"/>
    <w:multiLevelType w:val="multilevel"/>
    <w:tmpl w:val="146CC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1468B"/>
    <w:multiLevelType w:val="multilevel"/>
    <w:tmpl w:val="EB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66631"/>
    <w:multiLevelType w:val="multilevel"/>
    <w:tmpl w:val="7BA0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D43"/>
    <w:rsid w:val="000C2EFE"/>
    <w:rsid w:val="000D0C26"/>
    <w:rsid w:val="000E33F0"/>
    <w:rsid w:val="000F11FA"/>
    <w:rsid w:val="00123D59"/>
    <w:rsid w:val="001B66F1"/>
    <w:rsid w:val="00207221"/>
    <w:rsid w:val="003A56E3"/>
    <w:rsid w:val="003A7949"/>
    <w:rsid w:val="003C0E36"/>
    <w:rsid w:val="004200C3"/>
    <w:rsid w:val="00420451"/>
    <w:rsid w:val="00426361"/>
    <w:rsid w:val="004B6DF6"/>
    <w:rsid w:val="005377A0"/>
    <w:rsid w:val="005F0EB7"/>
    <w:rsid w:val="005F341D"/>
    <w:rsid w:val="006C5C78"/>
    <w:rsid w:val="006E027E"/>
    <w:rsid w:val="00714732"/>
    <w:rsid w:val="007926E7"/>
    <w:rsid w:val="007A3860"/>
    <w:rsid w:val="007E3847"/>
    <w:rsid w:val="008D3B37"/>
    <w:rsid w:val="008F20D1"/>
    <w:rsid w:val="0093273A"/>
    <w:rsid w:val="009B548D"/>
    <w:rsid w:val="009F39AD"/>
    <w:rsid w:val="00A709E7"/>
    <w:rsid w:val="00A7395B"/>
    <w:rsid w:val="00AA1C5B"/>
    <w:rsid w:val="00B54EB2"/>
    <w:rsid w:val="00B75FA0"/>
    <w:rsid w:val="00BA00F5"/>
    <w:rsid w:val="00BB6D43"/>
    <w:rsid w:val="00C771D1"/>
    <w:rsid w:val="00C9104A"/>
    <w:rsid w:val="00CB3422"/>
    <w:rsid w:val="00D0245F"/>
    <w:rsid w:val="00D3060F"/>
    <w:rsid w:val="00D56C6B"/>
    <w:rsid w:val="00DE1BCD"/>
    <w:rsid w:val="00DE22F2"/>
    <w:rsid w:val="00DE240D"/>
    <w:rsid w:val="00E241CB"/>
    <w:rsid w:val="00E65A2F"/>
    <w:rsid w:val="00E7359F"/>
    <w:rsid w:val="00E77B30"/>
    <w:rsid w:val="00EF38F6"/>
    <w:rsid w:val="00F03579"/>
    <w:rsid w:val="00F26B29"/>
    <w:rsid w:val="00F30F54"/>
    <w:rsid w:val="00F51BE3"/>
    <w:rsid w:val="00F75E32"/>
    <w:rsid w:val="00F819F8"/>
    <w:rsid w:val="00FD75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1"/>
    <o:shapelayout v:ext="edit">
      <o:idmap v:ext="edit" data="1"/>
    </o:shapelayout>
  </w:shapeDefaults>
  <w:decimalSymbol w:val="."/>
  <w:listSeparator w:val=","/>
  <w14:docId w14:val="3D86CB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61"/>
    <w:rPr>
      <w:rFonts w:ascii="Arial" w:hAnsi="Arial"/>
      <w:color w:val="191919"/>
    </w:rPr>
  </w:style>
  <w:style w:type="paragraph" w:styleId="Heading1">
    <w:name w:val="heading 1"/>
    <w:basedOn w:val="Normal"/>
    <w:next w:val="Normal"/>
    <w:link w:val="Heading1Char"/>
    <w:uiPriority w:val="9"/>
    <w:qFormat/>
    <w:rsid w:val="00426361"/>
    <w:pPr>
      <w:keepNext/>
      <w:keepLines/>
      <w:spacing w:before="480" w:after="0"/>
      <w:outlineLvl w:val="0"/>
    </w:pPr>
    <w:rPr>
      <w:rFonts w:eastAsiaTheme="majorEastAsia" w:cstheme="majorBidi"/>
      <w:b/>
      <w:bCs/>
      <w:color w:val="2E1251"/>
      <w:sz w:val="36"/>
      <w:szCs w:val="28"/>
    </w:rPr>
  </w:style>
  <w:style w:type="paragraph" w:styleId="Heading2">
    <w:name w:val="heading 2"/>
    <w:basedOn w:val="Normal"/>
    <w:next w:val="Normal"/>
    <w:link w:val="Heading2Char"/>
    <w:uiPriority w:val="9"/>
    <w:unhideWhenUsed/>
    <w:qFormat/>
    <w:rsid w:val="00426361"/>
    <w:pPr>
      <w:keepNext/>
      <w:keepLines/>
      <w:spacing w:before="200" w:after="0"/>
      <w:outlineLvl w:val="1"/>
    </w:pPr>
    <w:rPr>
      <w:rFonts w:eastAsiaTheme="majorEastAsia" w:cstheme="majorBidi"/>
      <w:b/>
      <w:bCs/>
      <w:color w:val="2E1251"/>
      <w:sz w:val="26"/>
      <w:szCs w:val="26"/>
    </w:rPr>
  </w:style>
  <w:style w:type="paragraph" w:styleId="Heading3">
    <w:name w:val="heading 3"/>
    <w:basedOn w:val="Normal"/>
    <w:next w:val="Normal"/>
    <w:link w:val="Heading3Char"/>
    <w:uiPriority w:val="9"/>
    <w:semiHidden/>
    <w:unhideWhenUsed/>
    <w:qFormat/>
    <w:rsid w:val="00426361"/>
    <w:pPr>
      <w:keepNext/>
      <w:keepLines/>
      <w:spacing w:before="200" w:after="0"/>
      <w:outlineLvl w:val="2"/>
    </w:pPr>
    <w:rPr>
      <w:rFonts w:asciiTheme="majorHAnsi" w:eastAsiaTheme="majorEastAsia" w:hAnsiTheme="majorHAnsi" w:cstheme="majorBidi"/>
      <w:b/>
      <w:bCs/>
      <w:color w:val="2E1251"/>
    </w:rPr>
  </w:style>
  <w:style w:type="paragraph" w:styleId="Heading4">
    <w:name w:val="heading 4"/>
    <w:basedOn w:val="Normal"/>
    <w:next w:val="Normal"/>
    <w:link w:val="Heading4Char"/>
    <w:uiPriority w:val="9"/>
    <w:semiHidden/>
    <w:unhideWhenUsed/>
    <w:qFormat/>
    <w:rsid w:val="009B54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6F1"/>
  </w:style>
  <w:style w:type="paragraph" w:styleId="Footer">
    <w:name w:val="footer"/>
    <w:basedOn w:val="Normal"/>
    <w:link w:val="FooterChar"/>
    <w:uiPriority w:val="99"/>
    <w:unhideWhenUsed/>
    <w:rsid w:val="001B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6F1"/>
  </w:style>
  <w:style w:type="character" w:styleId="PlaceholderText">
    <w:name w:val="Placeholder Text"/>
    <w:basedOn w:val="DefaultParagraphFont"/>
    <w:uiPriority w:val="99"/>
    <w:semiHidden/>
    <w:rsid w:val="001B66F1"/>
    <w:rPr>
      <w:color w:val="808080"/>
    </w:rPr>
  </w:style>
  <w:style w:type="paragraph" w:styleId="BalloonText">
    <w:name w:val="Balloon Text"/>
    <w:basedOn w:val="Normal"/>
    <w:link w:val="BalloonTextChar"/>
    <w:uiPriority w:val="99"/>
    <w:semiHidden/>
    <w:unhideWhenUsed/>
    <w:rsid w:val="001B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F1"/>
    <w:rPr>
      <w:rFonts w:ascii="Tahoma" w:hAnsi="Tahoma" w:cs="Tahoma"/>
      <w:sz w:val="16"/>
      <w:szCs w:val="16"/>
    </w:rPr>
  </w:style>
  <w:style w:type="character" w:customStyle="1" w:styleId="Heading1Char">
    <w:name w:val="Heading 1 Char"/>
    <w:basedOn w:val="DefaultParagraphFont"/>
    <w:link w:val="Heading1"/>
    <w:uiPriority w:val="9"/>
    <w:rsid w:val="00426361"/>
    <w:rPr>
      <w:rFonts w:ascii="Arial" w:eastAsiaTheme="majorEastAsia" w:hAnsi="Arial" w:cstheme="majorBidi"/>
      <w:b/>
      <w:bCs/>
      <w:color w:val="2E1251"/>
      <w:sz w:val="36"/>
      <w:szCs w:val="28"/>
    </w:rPr>
  </w:style>
  <w:style w:type="paragraph" w:styleId="NormalWeb">
    <w:name w:val="Normal (Web)"/>
    <w:basedOn w:val="Normal"/>
    <w:unhideWhenUsed/>
    <w:rsid w:val="006E02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E027E"/>
    <w:pPr>
      <w:spacing w:after="300" w:line="240" w:lineRule="auto"/>
      <w:contextualSpacing/>
    </w:pPr>
    <w:rPr>
      <w:rFonts w:eastAsiaTheme="majorEastAsia" w:cstheme="majorBidi"/>
      <w:color w:val="2E1251"/>
      <w:spacing w:val="5"/>
      <w:kern w:val="28"/>
      <w:sz w:val="52"/>
      <w:szCs w:val="52"/>
    </w:rPr>
  </w:style>
  <w:style w:type="character" w:customStyle="1" w:styleId="TitleChar">
    <w:name w:val="Title Char"/>
    <w:basedOn w:val="DefaultParagraphFont"/>
    <w:link w:val="Title"/>
    <w:uiPriority w:val="10"/>
    <w:rsid w:val="006E027E"/>
    <w:rPr>
      <w:rFonts w:ascii="Arial" w:eastAsiaTheme="majorEastAsia" w:hAnsi="Arial" w:cstheme="majorBidi"/>
      <w:color w:val="2E1251"/>
      <w:spacing w:val="5"/>
      <w:kern w:val="28"/>
      <w:sz w:val="52"/>
      <w:szCs w:val="52"/>
    </w:rPr>
  </w:style>
  <w:style w:type="character" w:customStyle="1" w:styleId="Heading2Char">
    <w:name w:val="Heading 2 Char"/>
    <w:basedOn w:val="DefaultParagraphFont"/>
    <w:link w:val="Heading2"/>
    <w:uiPriority w:val="9"/>
    <w:rsid w:val="00426361"/>
    <w:rPr>
      <w:rFonts w:ascii="Arial" w:eastAsiaTheme="majorEastAsia" w:hAnsi="Arial" w:cstheme="majorBidi"/>
      <w:b/>
      <w:bCs/>
      <w:color w:val="2E1251"/>
      <w:sz w:val="26"/>
      <w:szCs w:val="26"/>
    </w:rPr>
  </w:style>
  <w:style w:type="paragraph" w:styleId="TOCHeading">
    <w:name w:val="TOC Heading"/>
    <w:basedOn w:val="Heading1"/>
    <w:next w:val="Normal"/>
    <w:uiPriority w:val="39"/>
    <w:semiHidden/>
    <w:unhideWhenUsed/>
    <w:qFormat/>
    <w:rsid w:val="00426361"/>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426361"/>
    <w:pPr>
      <w:spacing w:after="100"/>
    </w:pPr>
  </w:style>
  <w:style w:type="paragraph" w:styleId="TOC2">
    <w:name w:val="toc 2"/>
    <w:basedOn w:val="Normal"/>
    <w:next w:val="Normal"/>
    <w:autoRedefine/>
    <w:uiPriority w:val="39"/>
    <w:unhideWhenUsed/>
    <w:rsid w:val="00426361"/>
    <w:pPr>
      <w:spacing w:after="100"/>
      <w:ind w:left="220"/>
    </w:pPr>
  </w:style>
  <w:style w:type="character" w:styleId="Hyperlink">
    <w:name w:val="Hyperlink"/>
    <w:basedOn w:val="DefaultParagraphFont"/>
    <w:uiPriority w:val="99"/>
    <w:unhideWhenUsed/>
    <w:rsid w:val="00426361"/>
    <w:rPr>
      <w:color w:val="0000FF" w:themeColor="hyperlink"/>
      <w:u w:val="single"/>
    </w:rPr>
  </w:style>
  <w:style w:type="character" w:customStyle="1" w:styleId="Heading3Char">
    <w:name w:val="Heading 3 Char"/>
    <w:basedOn w:val="DefaultParagraphFont"/>
    <w:link w:val="Heading3"/>
    <w:uiPriority w:val="9"/>
    <w:semiHidden/>
    <w:rsid w:val="00426361"/>
    <w:rPr>
      <w:rFonts w:asciiTheme="majorHAnsi" w:eastAsiaTheme="majorEastAsia" w:hAnsiTheme="majorHAnsi" w:cstheme="majorBidi"/>
      <w:b/>
      <w:bCs/>
      <w:color w:val="2E1251"/>
    </w:rPr>
  </w:style>
  <w:style w:type="paragraph" w:styleId="Quote">
    <w:name w:val="Quote"/>
    <w:basedOn w:val="Normal"/>
    <w:next w:val="Normal"/>
    <w:link w:val="QuoteChar"/>
    <w:uiPriority w:val="29"/>
    <w:qFormat/>
    <w:rsid w:val="00CB3422"/>
    <w:rPr>
      <w:i/>
      <w:iCs/>
      <w:color w:val="000000" w:themeColor="text1"/>
    </w:rPr>
  </w:style>
  <w:style w:type="character" w:customStyle="1" w:styleId="QuoteChar">
    <w:name w:val="Quote Char"/>
    <w:basedOn w:val="DefaultParagraphFont"/>
    <w:link w:val="Quote"/>
    <w:uiPriority w:val="29"/>
    <w:rsid w:val="00CB3422"/>
    <w:rPr>
      <w:rFonts w:ascii="Arial" w:hAnsi="Arial"/>
      <w:i/>
      <w:iCs/>
      <w:color w:val="000000" w:themeColor="text1"/>
    </w:rPr>
  </w:style>
  <w:style w:type="character" w:styleId="IntenseEmphasis">
    <w:name w:val="Intense Emphasis"/>
    <w:basedOn w:val="DefaultParagraphFont"/>
    <w:uiPriority w:val="21"/>
    <w:qFormat/>
    <w:rsid w:val="00D3060F"/>
    <w:rPr>
      <w:b/>
      <w:bCs/>
      <w:i/>
      <w:iCs/>
      <w:color w:val="291357"/>
    </w:rPr>
  </w:style>
  <w:style w:type="character" w:styleId="Strong">
    <w:name w:val="Strong"/>
    <w:basedOn w:val="DefaultParagraphFont"/>
    <w:uiPriority w:val="22"/>
    <w:qFormat/>
    <w:rsid w:val="00B54EB2"/>
    <w:rPr>
      <w:b/>
      <w:bCs/>
    </w:rPr>
  </w:style>
  <w:style w:type="character" w:customStyle="1" w:styleId="Heading4Char">
    <w:name w:val="Heading 4 Char"/>
    <w:basedOn w:val="DefaultParagraphFont"/>
    <w:link w:val="Heading4"/>
    <w:uiPriority w:val="9"/>
    <w:semiHidden/>
    <w:rsid w:val="009B548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415">
      <w:bodyDiv w:val="1"/>
      <w:marLeft w:val="0"/>
      <w:marRight w:val="0"/>
      <w:marTop w:val="0"/>
      <w:marBottom w:val="0"/>
      <w:divBdr>
        <w:top w:val="none" w:sz="0" w:space="0" w:color="auto"/>
        <w:left w:val="none" w:sz="0" w:space="0" w:color="auto"/>
        <w:bottom w:val="none" w:sz="0" w:space="0" w:color="auto"/>
        <w:right w:val="none" w:sz="0" w:space="0" w:color="auto"/>
      </w:divBdr>
    </w:div>
    <w:div w:id="1080516447">
      <w:bodyDiv w:val="1"/>
      <w:marLeft w:val="0"/>
      <w:marRight w:val="0"/>
      <w:marTop w:val="0"/>
      <w:marBottom w:val="0"/>
      <w:divBdr>
        <w:top w:val="none" w:sz="0" w:space="0" w:color="auto"/>
        <w:left w:val="none" w:sz="0" w:space="0" w:color="auto"/>
        <w:bottom w:val="none" w:sz="0" w:space="0" w:color="auto"/>
        <w:right w:val="none" w:sz="0" w:space="0" w:color="auto"/>
      </w:divBdr>
    </w:div>
    <w:div w:id="19197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B3A08-2E45-4414-A56C-51C73B59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Stone14</dc:creator>
  <cp:lastModifiedBy>Brown, Amy</cp:lastModifiedBy>
  <cp:revision>3</cp:revision>
  <cp:lastPrinted>2015-06-02T15:03:00Z</cp:lastPrinted>
  <dcterms:created xsi:type="dcterms:W3CDTF">2019-02-25T14:39:00Z</dcterms:created>
  <dcterms:modified xsi:type="dcterms:W3CDTF">2019-02-25T14:54:00Z</dcterms:modified>
</cp:coreProperties>
</file>